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800" w:lineRule="exact"/>
        <w:ind w:left="602" w:right="44" w:rightChars="21" w:hanging="602" w:hangingChars="200"/>
        <w:jc w:val="center"/>
        <w:rPr>
          <w:rFonts w:ascii="幼圆" w:eastAsia="幼圆"/>
          <w:b/>
          <w:sz w:val="30"/>
          <w:szCs w:val="30"/>
        </w:rPr>
      </w:pPr>
      <w:bookmarkStart w:id="0" w:name="_Toc251053966"/>
      <w:bookmarkStart w:id="1" w:name="_Toc250967182"/>
      <w:r>
        <w:rPr>
          <w:rFonts w:hint="eastAsia" w:ascii="幼圆" w:eastAsia="幼圆"/>
          <w:b/>
          <w:sz w:val="30"/>
          <w:szCs w:val="30"/>
        </w:rPr>
        <w:t>前   言</w:t>
      </w:r>
      <w:bookmarkEnd w:id="0"/>
      <w:bookmarkEnd w:id="1"/>
    </w:p>
    <w:p>
      <w:pPr>
        <w:spacing w:line="800" w:lineRule="exact"/>
        <w:ind w:left="440" w:right="44" w:rightChars="21" w:hanging="440" w:hangingChars="200"/>
        <w:rPr>
          <w:rFonts w:ascii="幼圆" w:eastAsia="幼圆"/>
          <w:sz w:val="22"/>
          <w:szCs w:val="22"/>
        </w:rPr>
      </w:pPr>
    </w:p>
    <w:p>
      <w:pPr>
        <w:spacing w:line="800" w:lineRule="exact"/>
        <w:ind w:left="480" w:right="44" w:rightChars="21" w:hanging="480" w:hangingChars="200"/>
        <w:rPr>
          <w:rFonts w:ascii="幼圆" w:eastAsia="幼圆"/>
          <w:sz w:val="24"/>
          <w:szCs w:val="24"/>
        </w:rPr>
      </w:pPr>
      <w:r>
        <w:rPr>
          <w:rFonts w:hint="eastAsia" w:ascii="幼圆" w:eastAsia="幼圆"/>
          <w:sz w:val="24"/>
          <w:szCs w:val="24"/>
        </w:rPr>
        <w:t>一．感谢您使用本公司的产品0，您因此获得本公司全面的技术支持和服务。</w:t>
      </w:r>
    </w:p>
    <w:p>
      <w:pPr>
        <w:spacing w:line="800" w:lineRule="exact"/>
        <w:ind w:left="480" w:right="44" w:rightChars="21" w:hanging="480" w:hangingChars="200"/>
        <w:rPr>
          <w:rFonts w:ascii="幼圆" w:eastAsia="幼圆"/>
          <w:b/>
          <w:sz w:val="24"/>
          <w:szCs w:val="24"/>
        </w:rPr>
      </w:pPr>
      <w:r>
        <w:rPr>
          <w:rFonts w:hint="eastAsia" w:ascii="幼圆" w:eastAsia="幼圆"/>
          <w:sz w:val="24"/>
          <w:szCs w:val="24"/>
        </w:rPr>
        <w:t>二．本产品说明书适用于</w:t>
      </w:r>
      <w:r>
        <w:rPr>
          <w:rFonts w:hint="eastAsia" w:ascii="幼圆" w:eastAsia="幼圆"/>
          <w:b/>
          <w:sz w:val="24"/>
          <w:szCs w:val="24"/>
          <w:lang w:val="en-US" w:eastAsia="zh-CN"/>
        </w:rPr>
        <w:t>LND</w:t>
      </w:r>
      <w:r>
        <w:rPr>
          <w:rFonts w:ascii="幼圆" w:eastAsia="幼圆"/>
          <w:b/>
          <w:sz w:val="24"/>
          <w:szCs w:val="24"/>
        </w:rPr>
        <w:t>-80</w:t>
      </w:r>
      <w:r>
        <w:rPr>
          <w:rFonts w:hint="eastAsia" w:ascii="幼圆" w:eastAsia="幼圆"/>
          <w:b/>
          <w:sz w:val="24"/>
          <w:szCs w:val="24"/>
        </w:rPr>
        <w:t xml:space="preserve">/1.1  </w:t>
      </w:r>
      <w:r>
        <w:rPr>
          <w:rFonts w:ascii="幼圆" w:eastAsia="幼圆"/>
          <w:b/>
          <w:sz w:val="24"/>
          <w:szCs w:val="24"/>
        </w:rPr>
        <w:t>0.1H</w:t>
      </w:r>
      <w:r>
        <w:rPr>
          <w:rFonts w:hint="eastAsia" w:ascii="幼圆" w:eastAsia="幼圆"/>
          <w:b/>
          <w:sz w:val="24"/>
          <w:szCs w:val="24"/>
        </w:rPr>
        <w:t>z超低频高压发生器</w:t>
      </w:r>
      <w:r>
        <w:rPr>
          <w:rFonts w:hint="eastAsia" w:ascii="幼圆" w:eastAsia="幼圆"/>
          <w:sz w:val="24"/>
          <w:szCs w:val="24"/>
        </w:rPr>
        <w:t>。</w:t>
      </w:r>
    </w:p>
    <w:p>
      <w:pPr>
        <w:spacing w:line="800" w:lineRule="exact"/>
        <w:ind w:left="480" w:right="44" w:rightChars="21" w:hanging="480" w:hangingChars="200"/>
        <w:rPr>
          <w:rFonts w:ascii="幼圆" w:eastAsia="幼圆"/>
          <w:sz w:val="24"/>
          <w:szCs w:val="24"/>
        </w:rPr>
      </w:pPr>
      <w:r>
        <w:rPr>
          <w:rFonts w:hint="eastAsia" w:ascii="幼圆" w:eastAsia="幼圆"/>
          <w:sz w:val="24"/>
          <w:szCs w:val="24"/>
        </w:rPr>
        <w:t>三．在使用本产品之前，请您仔细阅读产品说明书，并妥善保管以备查阅。</w:t>
      </w:r>
    </w:p>
    <w:p>
      <w:pPr>
        <w:spacing w:line="800" w:lineRule="exact"/>
        <w:ind w:left="480" w:right="44" w:rightChars="21" w:hanging="480" w:hangingChars="200"/>
        <w:rPr>
          <w:rFonts w:ascii="幼圆" w:eastAsia="幼圆"/>
          <w:sz w:val="24"/>
          <w:szCs w:val="24"/>
        </w:rPr>
      </w:pPr>
      <w:r>
        <w:rPr>
          <w:rFonts w:hint="eastAsia" w:ascii="幼圆" w:eastAsia="幼圆"/>
          <w:sz w:val="24"/>
          <w:szCs w:val="24"/>
        </w:rPr>
        <w:t>四．本产品为高压电气设备测试仪器，使用时请按产品说明书要求步骤操作，并严格遵守国家相关规定。若使用不当，可能损坏设备和危及人身安全！</w:t>
      </w:r>
    </w:p>
    <w:p>
      <w:pPr>
        <w:spacing w:line="800" w:lineRule="exact"/>
        <w:ind w:left="480" w:right="44" w:rightChars="21" w:hanging="480" w:hangingChars="200"/>
        <w:rPr>
          <w:rFonts w:ascii="幼圆" w:eastAsia="幼圆"/>
          <w:sz w:val="24"/>
          <w:szCs w:val="24"/>
        </w:rPr>
      </w:pPr>
      <w:r>
        <w:rPr>
          <w:rFonts w:hint="eastAsia" w:ascii="幼圆" w:eastAsia="幼圆"/>
          <w:sz w:val="24"/>
          <w:szCs w:val="24"/>
        </w:rPr>
        <w:t>五．在阅读本产品说明书或使用仪器的过程中，若有疑惑，请向本公司咨询。</w:t>
      </w:r>
    </w:p>
    <w:p>
      <w:pPr>
        <w:spacing w:line="800" w:lineRule="exact"/>
        <w:ind w:right="44" w:rightChars="21"/>
        <w:jc w:val="left"/>
        <w:rPr>
          <w:rFonts w:ascii="幼圆" w:eastAsia="幼圆"/>
          <w:sz w:val="24"/>
          <w:szCs w:val="24"/>
        </w:rPr>
      </w:pPr>
    </w:p>
    <w:p>
      <w:pPr>
        <w:spacing w:line="800" w:lineRule="exact"/>
        <w:ind w:right="44" w:rightChars="21" w:firstLine="555"/>
        <w:rPr>
          <w:rFonts w:ascii="幼圆" w:eastAsia="幼圆"/>
          <w:sz w:val="24"/>
          <w:szCs w:val="24"/>
        </w:rPr>
      </w:pPr>
    </w:p>
    <w:p>
      <w:r>
        <w:br w:type="page"/>
      </w:r>
    </w:p>
    <w:p>
      <w:pPr>
        <w:spacing w:before="120" w:beforeLines="50" w:after="120" w:afterLines="50" w:line="360" w:lineRule="auto"/>
        <w:jc w:val="center"/>
        <w:rPr>
          <w:rFonts w:ascii="宋体" w:hAnsi="宋体"/>
          <w:sz w:val="32"/>
          <w:szCs w:val="32"/>
        </w:rPr>
      </w:pPr>
    </w:p>
    <w:p>
      <w:pPr>
        <w:spacing w:before="120" w:beforeLines="50" w:after="120" w:afterLines="50" w:line="360" w:lineRule="auto"/>
        <w:jc w:val="center"/>
        <w:rPr>
          <w:rFonts w:ascii="宋体" w:hAnsi="宋体"/>
          <w:sz w:val="32"/>
          <w:szCs w:val="32"/>
        </w:rPr>
      </w:pPr>
    </w:p>
    <w:p>
      <w:pPr>
        <w:spacing w:before="120" w:beforeLines="50" w:after="120" w:afterLines="50" w:line="360" w:lineRule="auto"/>
        <w:jc w:val="center"/>
        <w:rPr>
          <w:rFonts w:ascii="宋体" w:hAnsi="宋体"/>
          <w:sz w:val="32"/>
          <w:szCs w:val="32"/>
        </w:rPr>
      </w:pPr>
      <w:r>
        <w:rPr>
          <w:rFonts w:hint="eastAsia" w:ascii="宋体" w:hAnsi="宋体"/>
          <w:sz w:val="32"/>
          <w:szCs w:val="32"/>
        </w:rPr>
        <w:t>目 录</w:t>
      </w:r>
    </w:p>
    <w:p/>
    <w:p/>
    <w:p>
      <w:pPr>
        <w:pStyle w:val="14"/>
        <w:spacing w:before="120" w:after="120"/>
        <w:rPr>
          <w:rFonts w:asciiTheme="minorHAnsi" w:hAnsiTheme="minorHAnsi" w:eastAsiaTheme="minorEastAsia" w:cstheme="minorBidi"/>
          <w:color w:val="auto"/>
          <w:kern w:val="2"/>
        </w:rPr>
      </w:pPr>
      <w:r>
        <w:rPr>
          <w:rFonts w:hint="eastAsia" w:ascii="幼圆" w:eastAsia="幼圆"/>
        </w:rPr>
        <w:fldChar w:fldCharType="begin"/>
      </w:r>
      <w:r>
        <w:rPr>
          <w:rFonts w:hint="eastAsia" w:ascii="幼圆" w:eastAsia="幼圆"/>
        </w:rPr>
        <w:instrText xml:space="preserve"> TOC \o "1-3" \h \z \u </w:instrText>
      </w:r>
      <w:r>
        <w:rPr>
          <w:rFonts w:hint="eastAsia" w:ascii="幼圆" w:eastAsia="幼圆"/>
        </w:rPr>
        <w:fldChar w:fldCharType="separate"/>
      </w:r>
      <w:r>
        <w:fldChar w:fldCharType="begin"/>
      </w:r>
      <w:r>
        <w:instrText xml:space="preserve"> HYPERLINK \l "_Toc45803166" </w:instrText>
      </w:r>
      <w:r>
        <w:fldChar w:fldCharType="separate"/>
      </w:r>
      <w:r>
        <w:rPr>
          <w:rStyle w:val="31"/>
          <w:rFonts w:hint="eastAsia"/>
          <w:sz w:val="24"/>
        </w:rPr>
        <w:t>一、概述</w:t>
      </w:r>
      <w:r>
        <w:rPr>
          <w:sz w:val="24"/>
        </w:rPr>
        <w:tab/>
      </w:r>
      <w:r>
        <w:rPr>
          <w:sz w:val="24"/>
        </w:rPr>
        <w:fldChar w:fldCharType="begin"/>
      </w:r>
      <w:r>
        <w:rPr>
          <w:sz w:val="24"/>
        </w:rPr>
        <w:instrText xml:space="preserve"> PAGEREF _Toc45803166 \h </w:instrText>
      </w:r>
      <w:r>
        <w:rPr>
          <w:sz w:val="24"/>
        </w:rPr>
        <w:fldChar w:fldCharType="separate"/>
      </w:r>
      <w:r>
        <w:rPr>
          <w:sz w:val="24"/>
        </w:rPr>
        <w:t>- 3 -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"_Toc45803167" </w:instrText>
      </w:r>
      <w:r>
        <w:fldChar w:fldCharType="separate"/>
      </w:r>
      <w:r>
        <w:rPr>
          <w:rStyle w:val="31"/>
          <w:rFonts w:hint="eastAsia"/>
          <w:sz w:val="24"/>
        </w:rPr>
        <w:t>二、</w:t>
      </w:r>
      <w:r>
        <w:rPr>
          <w:rStyle w:val="31"/>
          <w:rFonts w:eastAsia="Calibri" w:cs="Calibri"/>
          <w:sz w:val="24"/>
        </w:rPr>
        <w:t xml:space="preserve">0.1Hz </w:t>
      </w:r>
      <w:r>
        <w:rPr>
          <w:rStyle w:val="31"/>
          <w:rFonts w:hint="eastAsia"/>
          <w:sz w:val="24"/>
        </w:rPr>
        <w:t>超低频耐压技术优点</w:t>
      </w:r>
      <w:r>
        <w:rPr>
          <w:sz w:val="24"/>
        </w:rPr>
        <w:tab/>
      </w:r>
      <w:r>
        <w:rPr>
          <w:sz w:val="24"/>
        </w:rPr>
        <w:fldChar w:fldCharType="begin"/>
      </w:r>
      <w:r>
        <w:rPr>
          <w:sz w:val="24"/>
        </w:rPr>
        <w:instrText xml:space="preserve"> PAGEREF _Toc45803167 \h </w:instrText>
      </w:r>
      <w:r>
        <w:rPr>
          <w:sz w:val="24"/>
        </w:rPr>
        <w:fldChar w:fldCharType="separate"/>
      </w:r>
      <w:r>
        <w:rPr>
          <w:sz w:val="24"/>
        </w:rPr>
        <w:t>- 3 -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"_Toc45803168" </w:instrText>
      </w:r>
      <w:r>
        <w:fldChar w:fldCharType="separate"/>
      </w:r>
      <w:r>
        <w:rPr>
          <w:rStyle w:val="31"/>
          <w:rFonts w:hint="eastAsia" w:cs="微软雅黑" w:asciiTheme="minorEastAsia" w:hAnsiTheme="minorEastAsia"/>
          <w:sz w:val="24"/>
        </w:rPr>
        <w:t>三、产品技术参数</w:t>
      </w:r>
      <w:r>
        <w:rPr>
          <w:sz w:val="24"/>
        </w:rPr>
        <w:tab/>
      </w:r>
      <w:r>
        <w:rPr>
          <w:sz w:val="24"/>
        </w:rPr>
        <w:fldChar w:fldCharType="begin"/>
      </w:r>
      <w:r>
        <w:rPr>
          <w:sz w:val="24"/>
        </w:rPr>
        <w:instrText xml:space="preserve"> PAGEREF _Toc45803168 \h </w:instrText>
      </w:r>
      <w:r>
        <w:rPr>
          <w:sz w:val="24"/>
        </w:rPr>
        <w:fldChar w:fldCharType="separate"/>
      </w:r>
      <w:r>
        <w:rPr>
          <w:sz w:val="24"/>
        </w:rPr>
        <w:t>- 4 -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"_Toc45803169" </w:instrText>
      </w:r>
      <w:r>
        <w:fldChar w:fldCharType="separate"/>
      </w:r>
      <w:r>
        <w:rPr>
          <w:rStyle w:val="31"/>
          <w:rFonts w:hint="eastAsia" w:asciiTheme="minorEastAsia" w:hAnsiTheme="minorEastAsia"/>
          <w:sz w:val="24"/>
        </w:rPr>
        <w:t>四、产品特点</w:t>
      </w:r>
      <w:r>
        <w:rPr>
          <w:sz w:val="24"/>
        </w:rPr>
        <w:tab/>
      </w:r>
      <w:r>
        <w:rPr>
          <w:sz w:val="24"/>
        </w:rPr>
        <w:fldChar w:fldCharType="begin"/>
      </w:r>
      <w:r>
        <w:rPr>
          <w:sz w:val="24"/>
        </w:rPr>
        <w:instrText xml:space="preserve"> PAGEREF _Toc45803169 \h </w:instrText>
      </w:r>
      <w:r>
        <w:rPr>
          <w:sz w:val="24"/>
        </w:rPr>
        <w:fldChar w:fldCharType="separate"/>
      </w:r>
      <w:r>
        <w:rPr>
          <w:sz w:val="24"/>
        </w:rPr>
        <w:t>- 6 -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"_Toc45803170" </w:instrText>
      </w:r>
      <w:r>
        <w:fldChar w:fldCharType="separate"/>
      </w:r>
      <w:r>
        <w:rPr>
          <w:rStyle w:val="31"/>
          <w:rFonts w:hint="eastAsia" w:asciiTheme="minorEastAsia" w:hAnsiTheme="minorEastAsia"/>
          <w:sz w:val="24"/>
        </w:rPr>
        <w:t>五、仪器结构功能说明</w:t>
      </w:r>
      <w:r>
        <w:rPr>
          <w:sz w:val="24"/>
        </w:rPr>
        <w:tab/>
      </w:r>
      <w:r>
        <w:rPr>
          <w:sz w:val="24"/>
        </w:rPr>
        <w:fldChar w:fldCharType="begin"/>
      </w:r>
      <w:r>
        <w:rPr>
          <w:sz w:val="24"/>
        </w:rPr>
        <w:instrText xml:space="preserve"> PAGEREF _Toc45803170 \h </w:instrText>
      </w:r>
      <w:r>
        <w:rPr>
          <w:sz w:val="24"/>
        </w:rPr>
        <w:fldChar w:fldCharType="separate"/>
      </w:r>
      <w:r>
        <w:rPr>
          <w:sz w:val="24"/>
        </w:rPr>
        <w:t>- 6 -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"_Toc45803171" </w:instrText>
      </w:r>
      <w:r>
        <w:fldChar w:fldCharType="separate"/>
      </w:r>
      <w:r>
        <w:rPr>
          <w:rStyle w:val="31"/>
          <w:rFonts w:hint="eastAsia" w:asciiTheme="minorEastAsia" w:hAnsiTheme="minorEastAsia"/>
          <w:sz w:val="24"/>
        </w:rPr>
        <w:t>六、操作说明</w:t>
      </w:r>
      <w:r>
        <w:rPr>
          <w:sz w:val="24"/>
        </w:rPr>
        <w:tab/>
      </w:r>
      <w:r>
        <w:rPr>
          <w:sz w:val="24"/>
        </w:rPr>
        <w:fldChar w:fldCharType="begin"/>
      </w:r>
      <w:r>
        <w:rPr>
          <w:sz w:val="24"/>
        </w:rPr>
        <w:instrText xml:space="preserve"> PAGEREF _Toc45803171 \h </w:instrText>
      </w:r>
      <w:r>
        <w:rPr>
          <w:sz w:val="24"/>
        </w:rPr>
        <w:fldChar w:fldCharType="separate"/>
      </w:r>
      <w:r>
        <w:rPr>
          <w:sz w:val="24"/>
        </w:rPr>
        <w:t>- 8 -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"_Toc45803172" </w:instrText>
      </w:r>
      <w:r>
        <w:fldChar w:fldCharType="separate"/>
      </w:r>
      <w:r>
        <w:rPr>
          <w:rStyle w:val="31"/>
          <w:rFonts w:hint="eastAsia" w:asciiTheme="minorEastAsia" w:hAnsiTheme="minorEastAsia"/>
          <w:sz w:val="24"/>
        </w:rPr>
        <w:t>七、电力电缆耐压试验方法</w:t>
      </w:r>
      <w:r>
        <w:rPr>
          <w:sz w:val="24"/>
        </w:rPr>
        <w:tab/>
      </w:r>
      <w:r>
        <w:rPr>
          <w:sz w:val="24"/>
        </w:rPr>
        <w:fldChar w:fldCharType="begin"/>
      </w:r>
      <w:r>
        <w:rPr>
          <w:sz w:val="24"/>
        </w:rPr>
        <w:instrText xml:space="preserve"> PAGEREF _Toc45803172 \h </w:instrText>
      </w:r>
      <w:r>
        <w:rPr>
          <w:sz w:val="24"/>
        </w:rPr>
        <w:fldChar w:fldCharType="separate"/>
      </w:r>
      <w:r>
        <w:rPr>
          <w:sz w:val="24"/>
        </w:rPr>
        <w:t>- 17 -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"_Toc45803173" </w:instrText>
      </w:r>
      <w:r>
        <w:fldChar w:fldCharType="separate"/>
      </w:r>
      <w:r>
        <w:rPr>
          <w:rStyle w:val="31"/>
          <w:rFonts w:hint="eastAsia" w:asciiTheme="minorEastAsia" w:hAnsiTheme="minorEastAsia"/>
          <w:sz w:val="24"/>
        </w:rPr>
        <w:t>八、同步电机耐压试验方法</w:t>
      </w:r>
      <w:r>
        <w:rPr>
          <w:sz w:val="24"/>
        </w:rPr>
        <w:tab/>
      </w:r>
      <w:r>
        <w:rPr>
          <w:sz w:val="24"/>
        </w:rPr>
        <w:fldChar w:fldCharType="begin"/>
      </w:r>
      <w:r>
        <w:rPr>
          <w:sz w:val="24"/>
        </w:rPr>
        <w:instrText xml:space="preserve"> PAGEREF _Toc45803173 \h </w:instrText>
      </w:r>
      <w:r>
        <w:rPr>
          <w:sz w:val="24"/>
        </w:rPr>
        <w:fldChar w:fldCharType="separate"/>
      </w:r>
      <w:r>
        <w:rPr>
          <w:sz w:val="24"/>
        </w:rPr>
        <w:t>- 19 -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"_Toc45803174" </w:instrText>
      </w:r>
      <w:r>
        <w:fldChar w:fldCharType="separate"/>
      </w:r>
      <w:r>
        <w:rPr>
          <w:rStyle w:val="31"/>
          <w:rFonts w:hint="eastAsia" w:asciiTheme="minorEastAsia" w:hAnsiTheme="minorEastAsia"/>
          <w:sz w:val="24"/>
        </w:rPr>
        <w:t>九、注意事项</w:t>
      </w:r>
      <w:r>
        <w:rPr>
          <w:sz w:val="24"/>
        </w:rPr>
        <w:tab/>
      </w:r>
      <w:r>
        <w:rPr>
          <w:sz w:val="24"/>
        </w:rPr>
        <w:fldChar w:fldCharType="begin"/>
      </w:r>
      <w:r>
        <w:rPr>
          <w:sz w:val="24"/>
        </w:rPr>
        <w:instrText xml:space="preserve"> PAGEREF _Toc45803174 \h </w:instrText>
      </w:r>
      <w:r>
        <w:rPr>
          <w:sz w:val="24"/>
        </w:rPr>
        <w:fldChar w:fldCharType="separate"/>
      </w:r>
      <w:r>
        <w:rPr>
          <w:sz w:val="24"/>
        </w:rPr>
        <w:t>- 21 -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"_Toc45803175" </w:instrText>
      </w:r>
      <w:r>
        <w:fldChar w:fldCharType="separate"/>
      </w:r>
      <w:r>
        <w:rPr>
          <w:rStyle w:val="31"/>
          <w:rFonts w:hint="eastAsia" w:cs="宋体" w:asciiTheme="minorEastAsia" w:hAnsiTheme="minorEastAsia"/>
          <w:bCs/>
          <w:sz w:val="24"/>
        </w:rPr>
        <w:t>十、随机附件</w:t>
      </w:r>
      <w:r>
        <w:rPr>
          <w:sz w:val="24"/>
        </w:rPr>
        <w:tab/>
      </w:r>
      <w:r>
        <w:rPr>
          <w:sz w:val="24"/>
        </w:rPr>
        <w:fldChar w:fldCharType="begin"/>
      </w:r>
      <w:r>
        <w:rPr>
          <w:sz w:val="24"/>
        </w:rPr>
        <w:instrText xml:space="preserve"> PAGEREF _Toc45803175 \h </w:instrText>
      </w:r>
      <w:r>
        <w:rPr>
          <w:sz w:val="24"/>
        </w:rPr>
        <w:fldChar w:fldCharType="separate"/>
      </w:r>
      <w:r>
        <w:rPr>
          <w:sz w:val="24"/>
        </w:rPr>
        <w:t>- 21 -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"_Toc45803176" </w:instrText>
      </w:r>
      <w:r>
        <w:fldChar w:fldCharType="separate"/>
      </w:r>
      <w:r>
        <w:rPr>
          <w:rStyle w:val="31"/>
          <w:rFonts w:hint="eastAsia" w:asciiTheme="minorEastAsia" w:hAnsiTheme="minorEastAsia"/>
          <w:sz w:val="24"/>
        </w:rPr>
        <w:t>十一、运输及保存</w:t>
      </w:r>
      <w:r>
        <w:rPr>
          <w:sz w:val="24"/>
        </w:rPr>
        <w:tab/>
      </w:r>
      <w:r>
        <w:rPr>
          <w:sz w:val="24"/>
        </w:rPr>
        <w:fldChar w:fldCharType="begin"/>
      </w:r>
      <w:r>
        <w:rPr>
          <w:sz w:val="24"/>
        </w:rPr>
        <w:instrText xml:space="preserve"> PAGEREF _Toc45803176 \h </w:instrText>
      </w:r>
      <w:r>
        <w:rPr>
          <w:sz w:val="24"/>
        </w:rPr>
        <w:fldChar w:fldCharType="separate"/>
      </w:r>
      <w:r>
        <w:rPr>
          <w:sz w:val="24"/>
        </w:rPr>
        <w:t>- 21 -</w:t>
      </w:r>
      <w:r>
        <w:rPr>
          <w:sz w:val="24"/>
        </w:rPr>
        <w:fldChar w:fldCharType="end"/>
      </w:r>
      <w:r>
        <w:rPr>
          <w:sz w:val="24"/>
        </w:rPr>
        <w:fldChar w:fldCharType="end"/>
      </w:r>
    </w:p>
    <w:p>
      <w:pPr>
        <w:pStyle w:val="14"/>
        <w:spacing w:before="120" w:after="120"/>
        <w:rPr>
          <w:rFonts w:asciiTheme="minorHAnsi" w:hAnsiTheme="minorHAnsi" w:eastAsiaTheme="minorEastAsia" w:cstheme="minorBidi"/>
          <w:color w:val="auto"/>
          <w:kern w:val="2"/>
        </w:rPr>
      </w:pPr>
      <w:r>
        <w:fldChar w:fldCharType="begin"/>
      </w:r>
      <w:r>
        <w:instrText xml:space="preserve"> HYPERLINK \l "_Toc45803177" </w:instrText>
      </w:r>
      <w:r>
        <w:fldChar w:fldCharType="separate"/>
      </w:r>
      <w:r>
        <w:rPr>
          <w:rStyle w:val="31"/>
          <w:rFonts w:hint="eastAsia" w:asciiTheme="minorEastAsia" w:hAnsiTheme="minorEastAsia"/>
          <w:sz w:val="24"/>
        </w:rPr>
        <w:t>十二、质量保证</w:t>
      </w:r>
      <w:r>
        <w:rPr>
          <w:sz w:val="24"/>
        </w:rPr>
        <w:tab/>
      </w:r>
      <w:r>
        <w:rPr>
          <w:sz w:val="24"/>
        </w:rPr>
        <w:fldChar w:fldCharType="begin"/>
      </w:r>
      <w:r>
        <w:rPr>
          <w:sz w:val="24"/>
        </w:rPr>
        <w:instrText xml:space="preserve"> PAGEREF _Toc45803177 \h </w:instrText>
      </w:r>
      <w:r>
        <w:rPr>
          <w:sz w:val="24"/>
        </w:rPr>
        <w:fldChar w:fldCharType="separate"/>
      </w:r>
      <w:r>
        <w:rPr>
          <w:sz w:val="24"/>
        </w:rPr>
        <w:t>- 2</w:t>
      </w:r>
      <w:r>
        <w:rPr>
          <w:rFonts w:hint="eastAsia"/>
          <w:sz w:val="24"/>
          <w:lang w:val="en-US" w:eastAsia="zh-CN"/>
        </w:rPr>
        <w:t>1</w:t>
      </w:r>
      <w:r>
        <w:rPr>
          <w:sz w:val="24"/>
        </w:rPr>
        <w:t xml:space="preserve"> -</w:t>
      </w:r>
      <w:r>
        <w:rPr>
          <w:sz w:val="24"/>
        </w:rPr>
        <w:fldChar w:fldCharType="end"/>
      </w:r>
      <w:r>
        <w:rPr>
          <w:sz w:val="24"/>
        </w:rPr>
        <w:fldChar w:fldCharType="end"/>
      </w:r>
    </w:p>
    <w:p>
      <w:pPr>
        <w:spacing w:line="360" w:lineRule="auto"/>
        <w:rPr>
          <w:rFonts w:ascii="幼圆" w:eastAsia="幼圆"/>
          <w:sz w:val="22"/>
          <w:szCs w:val="22"/>
        </w:rPr>
      </w:pPr>
      <w:r>
        <w:rPr>
          <w:rFonts w:hint="eastAsia" w:ascii="幼圆" w:eastAsia="幼圆"/>
          <w:sz w:val="22"/>
          <w:szCs w:val="22"/>
        </w:rPr>
        <w:fldChar w:fldCharType="end"/>
      </w: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rPr>
          <w:rFonts w:ascii="幼圆" w:eastAsia="幼圆"/>
          <w:sz w:val="22"/>
          <w:szCs w:val="22"/>
        </w:rPr>
      </w:pPr>
    </w:p>
    <w:p>
      <w:pPr>
        <w:spacing w:line="360" w:lineRule="auto"/>
      </w:pPr>
    </w:p>
    <w:p>
      <w:pPr>
        <w:spacing w:line="360" w:lineRule="auto"/>
      </w:pPr>
    </w:p>
    <w:p>
      <w:pPr>
        <w:spacing w:line="360" w:lineRule="auto"/>
      </w:pPr>
    </w:p>
    <w:p>
      <w:pPr>
        <w:jc w:val="center"/>
        <w:rPr>
          <w:b/>
          <w:sz w:val="32"/>
          <w:szCs w:val="32"/>
        </w:rPr>
      </w:pPr>
      <w:bookmarkStart w:id="2" w:name="_Toc166075443"/>
      <w:bookmarkStart w:id="3" w:name="_Toc166404916"/>
      <w:bookmarkStart w:id="4" w:name="_Toc300651076"/>
      <w:bookmarkStart w:id="5" w:name="_Toc239039814"/>
      <w:bookmarkStart w:id="6" w:name="_Toc166142462"/>
    </w:p>
    <w:p>
      <w:pPr>
        <w:jc w:val="center"/>
        <w:rPr>
          <w:rFonts w:ascii="微软雅黑" w:hAnsi="微软雅黑" w:eastAsia="微软雅黑"/>
          <w:b/>
          <w:sz w:val="36"/>
          <w:szCs w:val="36"/>
        </w:rPr>
      </w:pPr>
      <w:r>
        <w:rPr>
          <w:rFonts w:hint="eastAsia" w:ascii="微软雅黑" w:hAnsi="微软雅黑" w:eastAsia="微软雅黑"/>
          <w:b/>
          <w:sz w:val="36"/>
          <w:szCs w:val="36"/>
          <w:lang w:val="en-US" w:eastAsia="zh-CN"/>
        </w:rPr>
        <w:t>LND</w:t>
      </w:r>
      <w:r>
        <w:rPr>
          <w:rFonts w:ascii="微软雅黑" w:hAnsi="微软雅黑" w:eastAsia="微软雅黑"/>
          <w:b/>
          <w:sz w:val="36"/>
          <w:szCs w:val="36"/>
        </w:rPr>
        <w:t>-80</w:t>
      </w:r>
      <w:r>
        <w:rPr>
          <w:rFonts w:hint="eastAsia" w:ascii="微软雅黑" w:hAnsi="微软雅黑" w:eastAsia="微软雅黑"/>
          <w:b/>
          <w:sz w:val="36"/>
          <w:szCs w:val="36"/>
        </w:rPr>
        <w:t>/1.1  0.1Hz超低频高压发生器</w:t>
      </w:r>
    </w:p>
    <w:p>
      <w:pPr>
        <w:jc w:val="center"/>
        <w:rPr>
          <w:rFonts w:ascii="微软雅黑" w:hAnsi="微软雅黑" w:eastAsia="微软雅黑"/>
          <w:b/>
          <w:sz w:val="36"/>
          <w:szCs w:val="36"/>
        </w:rPr>
      </w:pPr>
    </w:p>
    <w:p>
      <w:pPr>
        <w:pStyle w:val="2"/>
        <w:ind w:left="210" w:right="210"/>
        <w:rPr>
          <w:sz w:val="24"/>
          <w:szCs w:val="24"/>
        </w:rPr>
      </w:pPr>
      <w:bookmarkStart w:id="7" w:name="_Toc45803166"/>
      <w:r>
        <w:rPr>
          <w:rFonts w:hint="eastAsia"/>
          <w:sz w:val="24"/>
          <w:szCs w:val="24"/>
        </w:rPr>
        <w:t>一、概述</w:t>
      </w:r>
      <w:bookmarkEnd w:id="2"/>
      <w:bookmarkEnd w:id="7"/>
    </w:p>
    <w:p>
      <w:pPr>
        <w:spacing w:line="360" w:lineRule="auto"/>
        <w:ind w:firstLine="420" w:firstLineChars="200"/>
      </w:pPr>
      <w:r>
        <w:t>电气设备的高压耐压试验是《绝缘预防性试验》规定的最重要项目之一。耐压试验可分为交流耐压试验和直流耐压试验，交流耐压试验又可分为工频、变频和 0.1Hz 超低频测试技术，其中 0.1Hz 超低频技术是最新技术，是当前国际电工委员会推荐的技术。我公司新一代系列超低频高压发生器是采用最新美国技术自主开发的核心产品，采用</w:t>
      </w:r>
      <w:r>
        <w:rPr>
          <w:rFonts w:hint="eastAsia"/>
        </w:rPr>
        <w:t>8</w:t>
      </w:r>
      <w:r>
        <w:t>寸触模屏、最新 ARM7 单片机、高速 AD 采集电路，并配有后台管理软件。它克服了国内同类产品的诸多缺点（见表 1），性价比远远高于同类进口产品，特别适用于绝缘等值电容较大的电气设备（例如：电力电缆、电力电容器、大中型发电机和电动机等）耐压试验，符合 2004 年国家新颁布电力行业标准《超低频高压发生器通用技术条件 DL/T849.4-2004》要求。</w:t>
      </w:r>
    </w:p>
    <w:p>
      <w:pPr>
        <w:spacing w:line="180" w:lineRule="exact"/>
        <w:rPr>
          <w:rFonts w:ascii="宋体" w:hAnsi="宋体"/>
          <w:sz w:val="22"/>
          <w:szCs w:val="22"/>
        </w:rPr>
      </w:pPr>
    </w:p>
    <w:p>
      <w:pPr>
        <w:spacing w:line="291" w:lineRule="exact"/>
        <w:jc w:val="center"/>
        <w:rPr>
          <w:rFonts w:ascii="宋体" w:hAnsi="宋体"/>
          <w:sz w:val="22"/>
          <w:szCs w:val="22"/>
        </w:rPr>
      </w:pPr>
      <w:r>
        <w:rPr>
          <w:rFonts w:ascii="宋体" w:hAnsi="宋体" w:cs="宋体"/>
          <w:sz w:val="22"/>
          <w:szCs w:val="22"/>
        </w:rPr>
        <w:t>表</w:t>
      </w:r>
      <w:r>
        <w:rPr>
          <w:rFonts w:ascii="宋体" w:hAnsi="宋体" w:cs="Arial"/>
          <w:sz w:val="22"/>
          <w:szCs w:val="22"/>
        </w:rPr>
        <w:t xml:space="preserve"> 1 0.1Hz </w:t>
      </w:r>
      <w:r>
        <w:rPr>
          <w:rFonts w:ascii="宋体" w:hAnsi="宋体" w:cs="宋体"/>
          <w:sz w:val="22"/>
          <w:szCs w:val="22"/>
        </w:rPr>
        <w:t>耐压试验设备机械式与电子式的性能比较</w:t>
      </w:r>
    </w:p>
    <w:p>
      <w:pPr>
        <w:spacing w:line="400" w:lineRule="exact"/>
        <w:rPr>
          <w:rFonts w:ascii="黑体" w:eastAsia="黑体"/>
          <w:sz w:val="24"/>
        </w:rPr>
      </w:pPr>
      <w:r>
        <w:drawing>
          <wp:anchor distT="0" distB="0" distL="114300" distR="114300" simplePos="0" relativeHeight="251659264" behindDoc="1" locked="0" layoutInCell="0" allowOverlap="1">
            <wp:simplePos x="0" y="0"/>
            <wp:positionH relativeFrom="column">
              <wp:posOffset>62865</wp:posOffset>
            </wp:positionH>
            <wp:positionV relativeFrom="paragraph">
              <wp:posOffset>205105</wp:posOffset>
            </wp:positionV>
            <wp:extent cx="5562600" cy="1257300"/>
            <wp:effectExtent l="0" t="0" r="0" b="0"/>
            <wp:wrapNone/>
            <wp:docPr id="15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562600" cy="1257300"/>
                    </a:xfrm>
                    <a:prstGeom prst="rect">
                      <a:avLst/>
                    </a:prstGeom>
                    <a:noFill/>
                    <a:ln>
                      <a:noFill/>
                    </a:ln>
                  </pic:spPr>
                </pic:pic>
              </a:graphicData>
            </a:graphic>
          </wp:anchor>
        </w:drawing>
      </w:r>
    </w:p>
    <w:p>
      <w:pPr>
        <w:spacing w:line="400" w:lineRule="exact"/>
        <w:rPr>
          <w:rFonts w:ascii="黑体" w:eastAsia="黑体"/>
          <w:sz w:val="24"/>
        </w:rPr>
      </w:pPr>
    </w:p>
    <w:p>
      <w:pPr>
        <w:widowControl/>
        <w:jc w:val="left"/>
        <w:rPr>
          <w:rFonts w:ascii="黑体" w:hAnsi="宋体" w:eastAsia="黑体"/>
          <w:sz w:val="24"/>
        </w:rPr>
      </w:pPr>
      <w:bookmarkStart w:id="8" w:name="_Toc166075452"/>
    </w:p>
    <w:p>
      <w:pPr>
        <w:widowControl/>
        <w:jc w:val="left"/>
        <w:rPr>
          <w:rFonts w:ascii="黑体" w:hAnsi="宋体" w:eastAsia="黑体"/>
          <w:sz w:val="24"/>
        </w:rPr>
      </w:pPr>
    </w:p>
    <w:p>
      <w:pPr>
        <w:widowControl/>
        <w:jc w:val="left"/>
        <w:rPr>
          <w:rFonts w:ascii="黑体" w:hAnsi="宋体" w:eastAsia="黑体"/>
          <w:sz w:val="24"/>
        </w:rPr>
      </w:pPr>
    </w:p>
    <w:p>
      <w:pPr>
        <w:widowControl/>
        <w:jc w:val="left"/>
        <w:rPr>
          <w:rFonts w:ascii="黑体" w:hAnsi="宋体" w:eastAsia="黑体"/>
          <w:sz w:val="24"/>
        </w:rPr>
      </w:pPr>
    </w:p>
    <w:p>
      <w:pPr>
        <w:widowControl/>
        <w:jc w:val="left"/>
        <w:rPr>
          <w:rFonts w:ascii="黑体" w:hAnsi="宋体" w:eastAsia="黑体"/>
          <w:sz w:val="24"/>
        </w:rPr>
      </w:pPr>
    </w:p>
    <w:p>
      <w:pPr>
        <w:pStyle w:val="2"/>
        <w:ind w:left="210" w:right="210"/>
        <w:rPr>
          <w:rFonts w:ascii="黑体"/>
          <w:sz w:val="24"/>
          <w:szCs w:val="24"/>
        </w:rPr>
      </w:pPr>
      <w:bookmarkStart w:id="9" w:name="_Toc45803167"/>
      <w:r>
        <w:rPr>
          <w:sz w:val="24"/>
          <w:szCs w:val="24"/>
        </w:rPr>
        <w:t>二</w:t>
      </w:r>
      <w:r>
        <w:rPr>
          <w:rFonts w:hint="eastAsia"/>
          <w:sz w:val="24"/>
          <w:szCs w:val="24"/>
        </w:rPr>
        <w:t>、</w:t>
      </w:r>
      <w:r>
        <w:rPr>
          <w:rFonts w:ascii="Calibri" w:hAnsi="Calibri" w:eastAsia="Calibri" w:cs="Calibri"/>
          <w:sz w:val="24"/>
          <w:szCs w:val="24"/>
        </w:rPr>
        <w:t xml:space="preserve">0.1Hz </w:t>
      </w:r>
      <w:r>
        <w:rPr>
          <w:sz w:val="24"/>
          <w:szCs w:val="24"/>
        </w:rPr>
        <w:t>超低频耐压技术优点</w:t>
      </w:r>
      <w:bookmarkEnd w:id="9"/>
    </w:p>
    <w:p>
      <w:pPr>
        <w:spacing w:line="360" w:lineRule="auto"/>
        <w:ind w:firstLine="420" w:firstLineChars="200"/>
      </w:pPr>
      <w:r>
        <w:t>超低频绝缘耐压试验实际上是工频耐压试验的一种替代方法。在对大中型发电机、电动机、电力电缆等试品进行工频耐压试验时，由于它们的绝缘层呈现较大的电容量，所以需要很大容量的试验变压器或谐振变压器。这样一些巨大的设备，不但笨重，造价高，而且使用十分不便。为了解决这一矛盾，国际上普遍采用了降低试验频率，从而降低了试验电源容量的方法。从国内外多年的理论和实践证明，用 0.1Hz 超低频耐压试验替代工频耐压试验，不但能有同样的等效性，而且设备的体积大为缩小，重量大为减轻，理论上容量约为工频的五百分之一，且操作简单。这就是为什么发达国家普遍采用这一方法的主要原因。根据我国电力系统实际情况，国家发改委已制定了《35kV 及以下交联聚乙烯绝缘电力电缆超低频（0.1Hz）耐压试验方法》行业标准，2004 年颁布了电力行业标准《超低频高压发生器通用技术条件 DL/T 849.4－2004》，我国正在推广</w:t>
      </w:r>
      <w:bookmarkStart w:id="10" w:name="page5"/>
      <w:bookmarkEnd w:id="10"/>
      <w:r>
        <w:t>这一最新的试验方法。</w:t>
      </w:r>
    </w:p>
    <w:p>
      <w:pPr>
        <w:spacing w:line="360" w:lineRule="auto"/>
        <w:ind w:firstLine="420" w:firstLineChars="200"/>
      </w:pPr>
      <w:r>
        <w:t>虽然直流耐压试验设备具有体积小、重量轻和造价低等优点，但是直流耐压试验对被试品绝缘破坏性也是最大的。（见表 2）所以国家最新颁布的电气设备预防性试验相关规程已经明文规定不再使用直流高压对电气设备进行耐压试验，推荐使用交流耐压试验。</w:t>
      </w:r>
    </w:p>
    <w:p>
      <w:pPr>
        <w:spacing w:line="360" w:lineRule="auto"/>
        <w:ind w:firstLine="420" w:firstLineChars="200"/>
      </w:pPr>
      <w:r>
        <w:t>本公司研制的新一代系列 0.1Hz 超低频高压发生器”采用最新电力电子元器件和最新 ARM7 单片机技术，进一步降低了设备的体积和重量，傻瓜式操作，性能更稳定，克服了第一代机械式升压器使用寿命短、故障率高、体积大的缺点。通过多年的实践，大量用户的反馈表明： 80kV 超低频高压技术在全国领先，性价比最高！</w:t>
      </w:r>
    </w:p>
    <w:p>
      <w:pPr>
        <w:spacing w:line="291" w:lineRule="exact"/>
        <w:ind w:left="2560"/>
        <w:rPr>
          <w:rFonts w:asciiTheme="minorEastAsia" w:hAnsiTheme="minorEastAsia" w:eastAsiaTheme="minorEastAsia"/>
          <w:szCs w:val="21"/>
        </w:rPr>
      </w:pPr>
      <w:r>
        <w:rPr>
          <w:rFonts w:cs="宋体" w:asciiTheme="minorEastAsia" w:hAnsiTheme="minorEastAsia" w:eastAsiaTheme="minorEastAsia"/>
          <w:szCs w:val="21"/>
        </w:rPr>
        <w:t>表</w:t>
      </w:r>
      <w:r>
        <w:rPr>
          <w:rFonts w:cs="Arial" w:asciiTheme="minorEastAsia" w:hAnsiTheme="minorEastAsia" w:eastAsiaTheme="minorEastAsia"/>
          <w:szCs w:val="21"/>
        </w:rPr>
        <w:t xml:space="preserve"> 2 </w:t>
      </w:r>
      <w:r>
        <w:rPr>
          <w:rFonts w:cs="宋体" w:asciiTheme="minorEastAsia" w:hAnsiTheme="minorEastAsia" w:eastAsiaTheme="minorEastAsia"/>
          <w:szCs w:val="21"/>
        </w:rPr>
        <w:t>各种耐压试验设备的性能比较：</w:t>
      </w:r>
    </w:p>
    <w:p>
      <w:pPr>
        <w:spacing w:line="20" w:lineRule="exact"/>
        <w:rPr>
          <w:sz w:val="20"/>
        </w:rPr>
      </w:pPr>
    </w:p>
    <w:p>
      <w:pPr>
        <w:spacing w:line="200" w:lineRule="exact"/>
        <w:rPr>
          <w:sz w:val="20"/>
        </w:rPr>
      </w:pPr>
    </w:p>
    <w:p>
      <w:pPr>
        <w:spacing w:line="200" w:lineRule="exact"/>
        <w:rPr>
          <w:sz w:val="20"/>
        </w:rPr>
      </w:pPr>
      <w:r>
        <w:drawing>
          <wp:anchor distT="0" distB="0" distL="114300" distR="114300" simplePos="0" relativeHeight="251660288" behindDoc="1" locked="0" layoutInCell="0" allowOverlap="1">
            <wp:simplePos x="0" y="0"/>
            <wp:positionH relativeFrom="column">
              <wp:posOffset>228600</wp:posOffset>
            </wp:positionH>
            <wp:positionV relativeFrom="paragraph">
              <wp:posOffset>22860</wp:posOffset>
            </wp:positionV>
            <wp:extent cx="5266690" cy="2057400"/>
            <wp:effectExtent l="0" t="0" r="0" b="0"/>
            <wp:wrapNone/>
            <wp:docPr id="15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266690" cy="2057400"/>
                    </a:xfrm>
                    <a:prstGeom prst="rect">
                      <a:avLst/>
                    </a:prstGeom>
                    <a:noFill/>
                    <a:ln>
                      <a:noFill/>
                    </a:ln>
                  </pic:spPr>
                </pic:pic>
              </a:graphicData>
            </a:graphic>
          </wp:anchor>
        </w:drawing>
      </w: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00" w:lineRule="exact"/>
        <w:rPr>
          <w:sz w:val="20"/>
        </w:rPr>
      </w:pPr>
    </w:p>
    <w:p>
      <w:pPr>
        <w:spacing w:line="250" w:lineRule="exact"/>
        <w:rPr>
          <w:sz w:val="20"/>
        </w:rPr>
      </w:pPr>
    </w:p>
    <w:p>
      <w:pPr>
        <w:pStyle w:val="2"/>
        <w:ind w:left="210" w:right="210"/>
        <w:rPr>
          <w:rFonts w:cs="Calibri" w:asciiTheme="minorEastAsia" w:hAnsiTheme="minorEastAsia" w:eastAsiaTheme="minorEastAsia"/>
          <w:szCs w:val="21"/>
        </w:rPr>
      </w:pPr>
      <w:bookmarkStart w:id="11" w:name="_Toc45803168"/>
      <w:r>
        <w:rPr>
          <w:rFonts w:hint="eastAsia" w:cs="微软雅黑" w:asciiTheme="minorEastAsia" w:hAnsiTheme="minorEastAsia" w:eastAsiaTheme="minorEastAsia"/>
          <w:szCs w:val="21"/>
        </w:rPr>
        <w:t>三、产品技术参数</w:t>
      </w:r>
      <w:bookmarkEnd w:id="11"/>
    </w:p>
    <w:p>
      <w:pPr>
        <w:spacing w:line="291" w:lineRule="exact"/>
        <w:rPr>
          <w:rFonts w:asciiTheme="minorEastAsia" w:hAnsiTheme="minorEastAsia" w:eastAsiaTheme="minorEastAsia"/>
          <w:szCs w:val="21"/>
        </w:rPr>
      </w:pPr>
      <w:r>
        <w:rPr>
          <w:rFonts w:cs="Arial" w:asciiTheme="minorEastAsia" w:hAnsiTheme="minorEastAsia" w:eastAsiaTheme="minorEastAsia"/>
          <w:szCs w:val="21"/>
        </w:rPr>
        <w:t>1</w:t>
      </w:r>
      <w:r>
        <w:rPr>
          <w:rFonts w:cs="宋体" w:asciiTheme="minorEastAsia" w:hAnsiTheme="minorEastAsia" w:eastAsiaTheme="minorEastAsia"/>
          <w:szCs w:val="21"/>
        </w:rPr>
        <w:t>、产品命名说明</w:t>
      </w:r>
    </w:p>
    <w:p>
      <w:pPr>
        <w:ind w:left="900" w:firstLine="630" w:firstLineChars="300"/>
        <w:rPr>
          <w:rFonts w:asciiTheme="minorEastAsia" w:hAnsiTheme="minorEastAsia" w:eastAsiaTheme="minorEastAsia"/>
          <w:szCs w:val="21"/>
        </w:rPr>
      </w:pPr>
      <w:r>
        <w:rPr>
          <w:rFonts w:cs="Arial" w:asciiTheme="minorEastAsia" w:hAnsiTheme="minorEastAsia" w:eastAsiaTheme="minorEastAsia"/>
          <w:szCs w:val="21"/>
        </w:rPr>
        <w:t xml:space="preserve"> - </w:t>
      </w:r>
      <w:r>
        <w:rPr>
          <w:rFonts w:cs="Arial" w:asciiTheme="minorEastAsia" w:hAnsiTheme="minorEastAsia" w:eastAsiaTheme="minorEastAsia"/>
          <w:szCs w:val="21"/>
          <w:u w:val="single"/>
        </w:rPr>
        <w:t>□</w:t>
      </w:r>
      <w:r>
        <w:rPr>
          <w:rFonts w:cs="Arial" w:asciiTheme="minorEastAsia" w:hAnsiTheme="minorEastAsia" w:eastAsiaTheme="minorEastAsia"/>
          <w:szCs w:val="21"/>
        </w:rPr>
        <w:t xml:space="preserve"> / </w:t>
      </w:r>
      <w:r>
        <w:rPr>
          <w:rFonts w:cs="Arial" w:asciiTheme="minorEastAsia" w:hAnsiTheme="minorEastAsia" w:eastAsiaTheme="minorEastAsia"/>
          <w:szCs w:val="21"/>
          <w:u w:val="single"/>
        </w:rPr>
        <w:t>□</w:t>
      </w:r>
    </w:p>
    <w:p>
      <w:pPr>
        <w:spacing w:line="20" w:lineRule="exact"/>
        <w:rPr>
          <w:rFonts w:asciiTheme="minorEastAsia" w:hAnsiTheme="minorEastAsia" w:eastAsiaTheme="minorEastAsia"/>
          <w:szCs w:val="21"/>
        </w:rPr>
      </w:pPr>
      <w:r>
        <w:rPr>
          <w:rFonts w:asciiTheme="minorEastAsia" w:hAnsiTheme="minorEastAsia" w:eastAsiaTheme="minorEastAsia"/>
          <w:szCs w:val="21"/>
        </w:rPr>
        <mc:AlternateContent>
          <mc:Choice Requires="wps">
            <w:drawing>
              <wp:anchor distT="0" distB="0" distL="114300" distR="114300" simplePos="0" relativeHeight="251663360" behindDoc="1" locked="0" layoutInCell="0" allowOverlap="1">
                <wp:simplePos x="0" y="0"/>
                <wp:positionH relativeFrom="column">
                  <wp:posOffset>1901825</wp:posOffset>
                </wp:positionH>
                <wp:positionV relativeFrom="paragraph">
                  <wp:posOffset>8890</wp:posOffset>
                </wp:positionV>
                <wp:extent cx="0" cy="253365"/>
                <wp:effectExtent l="7620" t="0" r="11430" b="13335"/>
                <wp:wrapNone/>
                <wp:docPr id="30" name="Shape 3"/>
                <wp:cNvGraphicFramePr/>
                <a:graphic xmlns:a="http://schemas.openxmlformats.org/drawingml/2006/main">
                  <a:graphicData uri="http://schemas.microsoft.com/office/word/2010/wordprocessingShape">
                    <wps:wsp>
                      <wps:cNvCnPr/>
                      <wps:spPr>
                        <a:xfrm>
                          <a:off x="0" y="0"/>
                          <a:ext cx="0" cy="253365"/>
                        </a:xfrm>
                        <a:prstGeom prst="line">
                          <a:avLst/>
                        </a:prstGeom>
                        <a:solidFill>
                          <a:srgbClr val="FFFFFF"/>
                        </a:solidFill>
                        <a:ln w="15238">
                          <a:solidFill>
                            <a:srgbClr val="739CC3"/>
                          </a:solidFill>
                          <a:miter lim="800000"/>
                        </a:ln>
                        <a:effectLst/>
                      </wps:spPr>
                      <wps:bodyPr/>
                    </wps:wsp>
                  </a:graphicData>
                </a:graphic>
              </wp:anchor>
            </w:drawing>
          </mc:Choice>
          <mc:Fallback>
            <w:pict>
              <v:line id="Shape 3" o:spid="_x0000_s1026" o:spt="20" style="position:absolute;left:0pt;margin-left:149.75pt;margin-top:0.7pt;height:19.95pt;width:0pt;z-index:-251653120;mso-width-relative:page;mso-height-relative:page;" fillcolor="#FFFFFF" filled="t" stroked="t" coordsize="21600,21600" o:allowincell="f" o:gfxdata="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zTuNpdUAAAAIAQAADwAAAAAAAAABACAAAAAiAAAAZHJzL2Rvd25yZXYueG1sUEsBAhQAFAAA&#10;AAgAh07iQH/QNju5AQAApQMAAA4AAAAAAAAAAQAgAAAAJAEAAGRycy9lMm9Eb2MueG1sUEsFBgAA&#10;AAAGAAYAWQEAAE8FAAAAAA==&#10;">
                <v:fill on="t" focussize="0,0"/>
                <v:stroke weight="1.19984251968504pt" color="#739CC3" miterlimit="8" joinstyle="miter"/>
                <v:imagedata o:title=""/>
                <o:lock v:ext="edit" aspectratio="f"/>
              </v:line>
            </w:pict>
          </mc:Fallback>
        </mc:AlternateContent>
      </w:r>
      <w:r>
        <w:rPr>
          <w:rFonts w:asciiTheme="minorEastAsia" w:hAnsiTheme="minorEastAsia" w:eastAsiaTheme="minorEastAsia"/>
          <w:szCs w:val="21"/>
        </w:rPr>
        <mc:AlternateContent>
          <mc:Choice Requires="wps">
            <w:drawing>
              <wp:anchor distT="0" distB="0" distL="114300" distR="114300" simplePos="0" relativeHeight="251664384" behindDoc="1" locked="0" layoutInCell="0" allowOverlap="1">
                <wp:simplePos x="0" y="0"/>
                <wp:positionH relativeFrom="column">
                  <wp:posOffset>1441450</wp:posOffset>
                </wp:positionH>
                <wp:positionV relativeFrom="paragraph">
                  <wp:posOffset>8890</wp:posOffset>
                </wp:positionV>
                <wp:extent cx="0" cy="530860"/>
                <wp:effectExtent l="7620" t="0" r="11430" b="2540"/>
                <wp:wrapNone/>
                <wp:docPr id="29" name="Shape 4"/>
                <wp:cNvGraphicFramePr/>
                <a:graphic xmlns:a="http://schemas.openxmlformats.org/drawingml/2006/main">
                  <a:graphicData uri="http://schemas.microsoft.com/office/word/2010/wordprocessingShape">
                    <wps:wsp>
                      <wps:cNvCnPr/>
                      <wps:spPr>
                        <a:xfrm>
                          <a:off x="0" y="0"/>
                          <a:ext cx="0" cy="530860"/>
                        </a:xfrm>
                        <a:prstGeom prst="line">
                          <a:avLst/>
                        </a:prstGeom>
                        <a:solidFill>
                          <a:srgbClr val="FFFFFF"/>
                        </a:solidFill>
                        <a:ln w="15238">
                          <a:solidFill>
                            <a:srgbClr val="739CC3"/>
                          </a:solidFill>
                          <a:miter lim="800000"/>
                        </a:ln>
                        <a:effectLst/>
                      </wps:spPr>
                      <wps:bodyPr/>
                    </wps:wsp>
                  </a:graphicData>
                </a:graphic>
              </wp:anchor>
            </w:drawing>
          </mc:Choice>
          <mc:Fallback>
            <w:pict>
              <v:line id="Shape 4" o:spid="_x0000_s1026" o:spt="20" style="position:absolute;left:0pt;margin-left:113.5pt;margin-top:0.7pt;height:41.8pt;width:0pt;z-index:-251652096;mso-width-relative:page;mso-height-relative:page;" fillcolor="#FFFFFF" filled="t" stroked="t" coordsize="21600,21600" o:allowincell="f" o:gfxdata="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OUz96bVAAAACAEAAA8AAAAAAAAAAQAgAAAAIgAAAGRycy9kb3ducmV2LnhtbFBLAQIUABQA&#10;AAAIAIdO4kATe8WZugEAAKUDAAAOAAAAAAAAAAEAIAAAACQBAABkcnMvZTJvRG9jLnhtbFBLBQYA&#10;AAAABgAGAFkBAABQBQAAAAA=&#10;">
                <v:fill on="t" focussize="0,0"/>
                <v:stroke weight="1.19984251968504pt" color="#739CC3" miterlimit="8" joinstyle="miter"/>
                <v:imagedata o:title=""/>
                <o:lock v:ext="edit" aspectratio="f"/>
              </v:line>
            </w:pict>
          </mc:Fallback>
        </mc:AlternateContent>
      </w:r>
      <w:r>
        <w:rPr>
          <w:rFonts w:asciiTheme="minorEastAsia" w:hAnsiTheme="minorEastAsia" w:eastAsiaTheme="minorEastAsia"/>
          <w:szCs w:val="21"/>
        </w:rPr>
        <mc:AlternateContent>
          <mc:Choice Requires="wps">
            <w:drawing>
              <wp:anchor distT="0" distB="0" distL="114300" distR="114300" simplePos="0" relativeHeight="251665408" behindDoc="1" locked="0" layoutInCell="0" allowOverlap="1">
                <wp:simplePos x="0" y="0"/>
                <wp:positionH relativeFrom="column">
                  <wp:posOffset>883920</wp:posOffset>
                </wp:positionH>
                <wp:positionV relativeFrom="paragraph">
                  <wp:posOffset>8890</wp:posOffset>
                </wp:positionV>
                <wp:extent cx="0" cy="850265"/>
                <wp:effectExtent l="7620" t="0" r="11430" b="6985"/>
                <wp:wrapNone/>
                <wp:docPr id="28" name="Shape 5"/>
                <wp:cNvGraphicFramePr/>
                <a:graphic xmlns:a="http://schemas.openxmlformats.org/drawingml/2006/main">
                  <a:graphicData uri="http://schemas.microsoft.com/office/word/2010/wordprocessingShape">
                    <wps:wsp>
                      <wps:cNvCnPr/>
                      <wps:spPr>
                        <a:xfrm>
                          <a:off x="0" y="0"/>
                          <a:ext cx="0" cy="850265"/>
                        </a:xfrm>
                        <a:prstGeom prst="line">
                          <a:avLst/>
                        </a:prstGeom>
                        <a:solidFill>
                          <a:srgbClr val="FFFFFF"/>
                        </a:solidFill>
                        <a:ln w="15238">
                          <a:solidFill>
                            <a:srgbClr val="739CC3"/>
                          </a:solidFill>
                          <a:miter lim="800000"/>
                        </a:ln>
                        <a:effectLst/>
                      </wps:spPr>
                      <wps:bodyPr/>
                    </wps:wsp>
                  </a:graphicData>
                </a:graphic>
              </wp:anchor>
            </w:drawing>
          </mc:Choice>
          <mc:Fallback>
            <w:pict>
              <v:line id="Shape 5" o:spid="_x0000_s1026" o:spt="20" style="position:absolute;left:0pt;margin-left:69.6pt;margin-top:0.7pt;height:66.95pt;width:0pt;z-index:-251651072;mso-width-relative:page;mso-height-relative:page;" fillcolor="#FFFFFF" filled="t" stroked="t" coordsize="21600,21600" o:allowincell="f" o:gfxdata="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W3v+NUAAAAJAQAADwAAAAAAAAABACAAAAAiAAAAZHJzL2Rvd25yZXYueG1sUEsBAhQAFAAA&#10;AAgAh07iQAdHDR25AQAApQMAAA4AAAAAAAAAAQAgAAAAJAEAAGRycy9lMm9Eb2MueG1sUEsFBgAA&#10;AAAGAAYAWQEAAE8FAAAAAA==&#10;">
                <v:fill on="t" focussize="0,0"/>
                <v:stroke weight="1.19984251968504pt" color="#739CC3" miterlimit="8" joinstyle="miter"/>
                <v:imagedata o:title=""/>
                <o:lock v:ext="edit" aspectratio="f"/>
              </v:line>
            </w:pict>
          </mc:Fallback>
        </mc:AlternateContent>
      </w:r>
      <w:r>
        <w:rPr>
          <w:rFonts w:asciiTheme="minorEastAsia" w:hAnsiTheme="minorEastAsia" w:eastAsiaTheme="minorEastAsia"/>
          <w:szCs w:val="21"/>
        </w:rPr>
        <mc:AlternateContent>
          <mc:Choice Requires="wps">
            <w:drawing>
              <wp:anchor distT="0" distB="0" distL="114300" distR="114300" simplePos="0" relativeHeight="251666432" behindDoc="1" locked="0" layoutInCell="0" allowOverlap="1">
                <wp:simplePos x="0" y="0"/>
                <wp:positionH relativeFrom="column">
                  <wp:posOffset>603250</wp:posOffset>
                </wp:positionH>
                <wp:positionV relativeFrom="paragraph">
                  <wp:posOffset>6350</wp:posOffset>
                </wp:positionV>
                <wp:extent cx="0" cy="1176020"/>
                <wp:effectExtent l="7620" t="0" r="11430" b="5080"/>
                <wp:wrapNone/>
                <wp:docPr id="27" name="Shape 6"/>
                <wp:cNvGraphicFramePr/>
                <a:graphic xmlns:a="http://schemas.openxmlformats.org/drawingml/2006/main">
                  <a:graphicData uri="http://schemas.microsoft.com/office/word/2010/wordprocessingShape">
                    <wps:wsp>
                      <wps:cNvCnPr/>
                      <wps:spPr>
                        <a:xfrm>
                          <a:off x="0" y="0"/>
                          <a:ext cx="0" cy="1176020"/>
                        </a:xfrm>
                        <a:prstGeom prst="line">
                          <a:avLst/>
                        </a:prstGeom>
                        <a:solidFill>
                          <a:srgbClr val="FFFFFF"/>
                        </a:solidFill>
                        <a:ln w="15238">
                          <a:solidFill>
                            <a:srgbClr val="739CC3"/>
                          </a:solidFill>
                          <a:miter lim="800000"/>
                        </a:ln>
                        <a:effectLst/>
                      </wps:spPr>
                      <wps:bodyPr/>
                    </wps:wsp>
                  </a:graphicData>
                </a:graphic>
              </wp:anchor>
            </w:drawing>
          </mc:Choice>
          <mc:Fallback>
            <w:pict>
              <v:line id="Shape 6" o:spid="_x0000_s1026" o:spt="20" style="position:absolute;left:0pt;margin-left:47.5pt;margin-top:0.5pt;height:92.6pt;width:0pt;z-index:-251650048;mso-width-relative:page;mso-height-relative:page;" fillcolor="#FFFFFF" filled="t" stroked="t" coordsize="21600,21600" o:allowincell="f" o:gfxdata="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">
                <v:fill on="t" focussize="0,0"/>
                <v:stroke weight="1.19984251968504pt" color="#739CC3" miterlimit="8" joinstyle="miter"/>
                <v:imagedata o:title=""/>
                <o:lock v:ext="edit" aspectratio="f"/>
              </v:line>
            </w:pict>
          </mc:Fallback>
        </mc:AlternateContent>
      </w:r>
    </w:p>
    <w:p>
      <w:pPr>
        <w:spacing w:line="216" w:lineRule="exact"/>
        <w:rPr>
          <w:rFonts w:asciiTheme="minorEastAsia" w:hAnsiTheme="minorEastAsia" w:eastAsiaTheme="minorEastAsia"/>
          <w:szCs w:val="21"/>
        </w:rPr>
      </w:pPr>
    </w:p>
    <w:p>
      <w:pPr>
        <w:spacing w:line="305" w:lineRule="exact"/>
        <w:ind w:left="3780"/>
        <w:rPr>
          <w:rFonts w:asciiTheme="minorEastAsia" w:hAnsiTheme="minorEastAsia" w:eastAsiaTheme="minorEastAsia"/>
          <w:szCs w:val="21"/>
        </w:rPr>
      </w:pPr>
      <w:r>
        <w:rPr>
          <w:rFonts w:cs="宋体" w:asciiTheme="minorEastAsia" w:hAnsiTheme="minorEastAsia" w:eastAsiaTheme="minorEastAsia"/>
          <w:szCs w:val="21"/>
        </w:rPr>
        <w:t>额定负载电容量，单位</w:t>
      </w:r>
      <w:r>
        <w:rPr>
          <w:rFonts w:cs="Calibri" w:asciiTheme="minorEastAsia" w:hAnsiTheme="minorEastAsia" w:eastAsiaTheme="minorEastAsia"/>
          <w:szCs w:val="21"/>
        </w:rPr>
        <w:t>µF</w:t>
      </w:r>
    </w:p>
    <w:p>
      <w:pPr>
        <w:spacing w:line="20" w:lineRule="exact"/>
        <w:rPr>
          <w:rFonts w:asciiTheme="minorEastAsia" w:hAnsiTheme="minorEastAsia" w:eastAsiaTheme="minorEastAsia"/>
          <w:szCs w:val="21"/>
        </w:rPr>
      </w:pPr>
      <w:r>
        <w:rPr>
          <w:rFonts w:asciiTheme="minorEastAsia" w:hAnsiTheme="minorEastAsia" w:eastAsiaTheme="minorEastAsia"/>
          <w:szCs w:val="21"/>
        </w:rPr>
        <mc:AlternateContent>
          <mc:Choice Requires="wps">
            <w:drawing>
              <wp:anchor distT="0" distB="0" distL="114300" distR="114300" simplePos="0" relativeHeight="251667456" behindDoc="1" locked="0" layoutInCell="0" allowOverlap="1">
                <wp:simplePos x="0" y="0"/>
                <wp:positionH relativeFrom="column">
                  <wp:posOffset>1919605</wp:posOffset>
                </wp:positionH>
                <wp:positionV relativeFrom="paragraph">
                  <wp:posOffset>-89535</wp:posOffset>
                </wp:positionV>
                <wp:extent cx="469900" cy="0"/>
                <wp:effectExtent l="0" t="0" r="0" b="0"/>
                <wp:wrapNone/>
                <wp:docPr id="26" name="Shape 7"/>
                <wp:cNvGraphicFramePr/>
                <a:graphic xmlns:a="http://schemas.openxmlformats.org/drawingml/2006/main">
                  <a:graphicData uri="http://schemas.microsoft.com/office/word/2010/wordprocessingShape">
                    <wps:wsp>
                      <wps:cNvCnPr/>
                      <wps:spPr>
                        <a:xfrm>
                          <a:off x="0" y="0"/>
                          <a:ext cx="469900" cy="0"/>
                        </a:xfrm>
                        <a:prstGeom prst="line">
                          <a:avLst/>
                        </a:prstGeom>
                        <a:solidFill>
                          <a:srgbClr val="FFFFFF"/>
                        </a:solidFill>
                        <a:ln w="15238">
                          <a:solidFill>
                            <a:srgbClr val="739CC3"/>
                          </a:solidFill>
                          <a:miter lim="800000"/>
                        </a:ln>
                        <a:effectLst/>
                      </wps:spPr>
                      <wps:bodyPr/>
                    </wps:wsp>
                  </a:graphicData>
                </a:graphic>
              </wp:anchor>
            </w:drawing>
          </mc:Choice>
          <mc:Fallback>
            <w:pict>
              <v:line id="Shape 7" o:spid="_x0000_s1026" o:spt="20" style="position:absolute;left:0pt;margin-left:151.15pt;margin-top:-7.05pt;height:0pt;width:37pt;z-index:-251649024;mso-width-relative:page;mso-height-relative:page;" fillcolor="#FFFFFF" filled="t" stroked="t" coordsize="21600,21600" o:allowincell="f" o:gfxdata="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Bz+XKa2AAAAAsBAAAPAAAAAAAAAAEAIAAAACIAAABkcnMvZG93bnJldi54bWxQSwEC&#10;FAAUAAAACACHTuJA58rG7bsBAAClAwAADgAAAAAAAAABACAAAAAnAQAAZHJzL2Uyb0RvYy54bWxQ&#10;SwUGAAAAAAYABgBZAQAAVAUAAAAA&#10;">
                <v:fill on="t" focussize="0,0"/>
                <v:stroke weight="1.19984251968504pt" color="#739CC3" miterlimit="8" joinstyle="miter"/>
                <v:imagedata o:title=""/>
                <o:lock v:ext="edit" aspectratio="f"/>
              </v:line>
            </w:pict>
          </mc:Fallback>
        </mc:AlternateContent>
      </w:r>
    </w:p>
    <w:p>
      <w:pPr>
        <w:spacing w:line="142" w:lineRule="exact"/>
        <w:rPr>
          <w:rFonts w:asciiTheme="minorEastAsia" w:hAnsiTheme="minorEastAsia" w:eastAsiaTheme="minorEastAsia"/>
          <w:szCs w:val="21"/>
        </w:rPr>
      </w:pPr>
      <w:bookmarkStart w:id="35" w:name="_GoBack"/>
      <w:bookmarkEnd w:id="35"/>
    </w:p>
    <w:p>
      <w:pPr>
        <w:spacing w:line="291" w:lineRule="exact"/>
        <w:ind w:left="3780"/>
        <w:rPr>
          <w:rFonts w:asciiTheme="minorEastAsia" w:hAnsiTheme="minorEastAsia" w:eastAsiaTheme="minorEastAsia"/>
          <w:szCs w:val="21"/>
        </w:rPr>
      </w:pPr>
      <w:r>
        <w:rPr>
          <w:rFonts w:cs="宋体" w:asciiTheme="minorEastAsia" w:hAnsiTheme="minorEastAsia" w:eastAsiaTheme="minorEastAsia"/>
          <w:szCs w:val="21"/>
        </w:rPr>
        <w:t>额定输出峰值电压，单位</w:t>
      </w:r>
      <w:r>
        <w:rPr>
          <w:rFonts w:cs="Arial" w:asciiTheme="minorEastAsia" w:hAnsiTheme="minorEastAsia" w:eastAsiaTheme="minorEastAsia"/>
          <w:szCs w:val="21"/>
        </w:rPr>
        <w:t xml:space="preserve"> kV</w:t>
      </w:r>
    </w:p>
    <w:p>
      <w:pPr>
        <w:spacing w:line="20" w:lineRule="exact"/>
        <w:rPr>
          <w:rFonts w:asciiTheme="minorEastAsia" w:hAnsiTheme="minorEastAsia" w:eastAsiaTheme="minorEastAsia"/>
          <w:szCs w:val="21"/>
        </w:rPr>
      </w:pPr>
      <w:r>
        <w:rPr>
          <w:rFonts w:asciiTheme="minorEastAsia" w:hAnsiTheme="minorEastAsia" w:eastAsiaTheme="minorEastAsia"/>
          <w:szCs w:val="21"/>
        </w:rPr>
        <mc:AlternateContent>
          <mc:Choice Requires="wps">
            <w:drawing>
              <wp:anchor distT="0" distB="0" distL="114300" distR="114300" simplePos="0" relativeHeight="251668480" behindDoc="1" locked="0" layoutInCell="0" allowOverlap="1">
                <wp:simplePos x="0" y="0"/>
                <wp:positionH relativeFrom="column">
                  <wp:posOffset>1456690</wp:posOffset>
                </wp:positionH>
                <wp:positionV relativeFrom="paragraph">
                  <wp:posOffset>-96520</wp:posOffset>
                </wp:positionV>
                <wp:extent cx="932815" cy="0"/>
                <wp:effectExtent l="0" t="0" r="0" b="0"/>
                <wp:wrapNone/>
                <wp:docPr id="25" name="Shape 8"/>
                <wp:cNvGraphicFramePr/>
                <a:graphic xmlns:a="http://schemas.openxmlformats.org/drawingml/2006/main">
                  <a:graphicData uri="http://schemas.microsoft.com/office/word/2010/wordprocessingShape">
                    <wps:wsp>
                      <wps:cNvCnPr/>
                      <wps:spPr>
                        <a:xfrm>
                          <a:off x="0" y="0"/>
                          <a:ext cx="932815" cy="0"/>
                        </a:xfrm>
                        <a:prstGeom prst="line">
                          <a:avLst/>
                        </a:prstGeom>
                        <a:solidFill>
                          <a:srgbClr val="FFFFFF"/>
                        </a:solidFill>
                        <a:ln w="15238">
                          <a:solidFill>
                            <a:srgbClr val="739CC3"/>
                          </a:solidFill>
                          <a:miter lim="800000"/>
                        </a:ln>
                        <a:effectLst/>
                      </wps:spPr>
                      <wps:bodyPr/>
                    </wps:wsp>
                  </a:graphicData>
                </a:graphic>
              </wp:anchor>
            </w:drawing>
          </mc:Choice>
          <mc:Fallback>
            <w:pict>
              <v:line id="Shape 8" o:spid="_x0000_s1026" o:spt="20" style="position:absolute;left:0pt;margin-left:114.7pt;margin-top:-7.6pt;height:0pt;width:73.45pt;z-index:-251648000;mso-width-relative:page;mso-height-relative:page;" fillcolor="#FFFFFF" filled="t" stroked="t" coordsize="21600,21600" o:allowincell="f" o:gfxdata="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Aj+PZ3YAAAACwEAAA8AAAAAAAAAAQAgAAAAIgAAAGRycy9kb3ducmV2LnhtbFBLAQIU&#10;ABQAAAAIAIdO4kC5ZkcnugEAAKUDAAAOAAAAAAAAAAEAIAAAACcBAABkcnMvZTJvRG9jLnhtbFBL&#10;BQYAAAAABgAGAFkBAABTBQAAAAA=&#10;">
                <v:fill on="t" focussize="0,0"/>
                <v:stroke weight="1.19984251968504pt" color="#739CC3" miterlimit="8" joinstyle="miter"/>
                <v:imagedata o:title=""/>
                <o:lock v:ext="edit" aspectratio="f"/>
              </v:line>
            </w:pict>
          </mc:Fallback>
        </mc:AlternateContent>
      </w:r>
    </w:p>
    <w:p>
      <w:pPr>
        <w:spacing w:line="177" w:lineRule="exact"/>
        <w:rPr>
          <w:rFonts w:asciiTheme="minorEastAsia" w:hAnsiTheme="minorEastAsia" w:eastAsiaTheme="minorEastAsia"/>
          <w:szCs w:val="21"/>
        </w:rPr>
      </w:pPr>
    </w:p>
    <w:p>
      <w:pPr>
        <w:spacing w:line="274" w:lineRule="exact"/>
        <w:ind w:left="3780"/>
        <w:rPr>
          <w:rFonts w:asciiTheme="minorEastAsia" w:hAnsiTheme="minorEastAsia" w:eastAsiaTheme="minorEastAsia"/>
          <w:szCs w:val="21"/>
        </w:rPr>
      </w:pPr>
      <w:r>
        <w:rPr>
          <w:rFonts w:cs="宋体" w:asciiTheme="minorEastAsia" w:hAnsiTheme="minorEastAsia" w:eastAsiaTheme="minorEastAsia"/>
          <w:szCs w:val="21"/>
        </w:rPr>
        <w:t>超低频高压发生器</w:t>
      </w:r>
    </w:p>
    <w:p>
      <w:pPr>
        <w:spacing w:line="20" w:lineRule="exact"/>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61312" behindDoc="1" locked="0" layoutInCell="0" allowOverlap="1">
            <wp:simplePos x="0" y="0"/>
            <wp:positionH relativeFrom="column">
              <wp:posOffset>902335</wp:posOffset>
            </wp:positionH>
            <wp:positionV relativeFrom="paragraph">
              <wp:posOffset>-85090</wp:posOffset>
            </wp:positionV>
            <wp:extent cx="1487805" cy="30480"/>
            <wp:effectExtent l="0" t="0" r="0" b="7620"/>
            <wp:wrapNone/>
            <wp:docPr id="15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Picture 9"/>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1487805" cy="30480"/>
                    </a:xfrm>
                    <a:prstGeom prst="rect">
                      <a:avLst/>
                    </a:prstGeom>
                    <a:noFill/>
                    <a:ln>
                      <a:noFill/>
                    </a:ln>
                  </pic:spPr>
                </pic:pic>
              </a:graphicData>
            </a:graphic>
          </wp:anchor>
        </w:drawing>
      </w:r>
    </w:p>
    <w:p>
      <w:pPr>
        <w:spacing w:line="172" w:lineRule="exact"/>
        <w:rPr>
          <w:rFonts w:asciiTheme="minorEastAsia" w:hAnsiTheme="minorEastAsia" w:eastAsiaTheme="minorEastAsia"/>
          <w:szCs w:val="21"/>
        </w:rPr>
      </w:pPr>
    </w:p>
    <w:p>
      <w:pPr>
        <w:spacing w:line="274" w:lineRule="exact"/>
        <w:ind w:left="3780"/>
        <w:rPr>
          <w:rFonts w:asciiTheme="minorEastAsia" w:hAnsiTheme="minorEastAsia" w:eastAsiaTheme="minorEastAsia"/>
          <w:szCs w:val="21"/>
        </w:rPr>
      </w:pPr>
      <w:r>
        <w:rPr>
          <w:rFonts w:cs="宋体" w:asciiTheme="minorEastAsia" w:hAnsiTheme="minorEastAsia" w:eastAsiaTheme="minorEastAsia"/>
          <w:szCs w:val="21"/>
        </w:rPr>
        <w:t>公司代码</w:t>
      </w:r>
    </w:p>
    <w:p>
      <w:pPr>
        <w:spacing w:line="20" w:lineRule="exact"/>
        <w:rPr>
          <w:rFonts w:asciiTheme="minorEastAsia" w:hAnsiTheme="minorEastAsia" w:eastAsiaTheme="minorEastAsia"/>
          <w:szCs w:val="21"/>
        </w:rPr>
      </w:pPr>
      <w:r>
        <w:rPr>
          <w:rFonts w:asciiTheme="minorEastAsia" w:hAnsiTheme="minorEastAsia" w:eastAsiaTheme="minorEastAsia"/>
          <w:szCs w:val="21"/>
        </w:rPr>
        <mc:AlternateContent>
          <mc:Choice Requires="wps">
            <w:drawing>
              <wp:anchor distT="0" distB="0" distL="114300" distR="114300" simplePos="0" relativeHeight="251669504" behindDoc="1" locked="0" layoutInCell="0" allowOverlap="1">
                <wp:simplePos x="0" y="0"/>
                <wp:positionH relativeFrom="column">
                  <wp:posOffset>615315</wp:posOffset>
                </wp:positionH>
                <wp:positionV relativeFrom="paragraph">
                  <wp:posOffset>-62865</wp:posOffset>
                </wp:positionV>
                <wp:extent cx="1771015" cy="0"/>
                <wp:effectExtent l="0" t="0" r="0" b="0"/>
                <wp:wrapNone/>
                <wp:docPr id="24" name="Shape 10"/>
                <wp:cNvGraphicFramePr/>
                <a:graphic xmlns:a="http://schemas.openxmlformats.org/drawingml/2006/main">
                  <a:graphicData uri="http://schemas.microsoft.com/office/word/2010/wordprocessingShape">
                    <wps:wsp>
                      <wps:cNvCnPr/>
                      <wps:spPr>
                        <a:xfrm>
                          <a:off x="0" y="0"/>
                          <a:ext cx="1771015" cy="0"/>
                        </a:xfrm>
                        <a:prstGeom prst="line">
                          <a:avLst/>
                        </a:prstGeom>
                        <a:solidFill>
                          <a:srgbClr val="FFFFFF"/>
                        </a:solidFill>
                        <a:ln w="15238">
                          <a:solidFill>
                            <a:srgbClr val="739CC3"/>
                          </a:solidFill>
                          <a:miter lim="800000"/>
                        </a:ln>
                        <a:effectLst/>
                      </wps:spPr>
                      <wps:bodyPr/>
                    </wps:wsp>
                  </a:graphicData>
                </a:graphic>
              </wp:anchor>
            </w:drawing>
          </mc:Choice>
          <mc:Fallback>
            <w:pict>
              <v:line id="Shape 10" o:spid="_x0000_s1026" o:spt="20" style="position:absolute;left:0pt;margin-left:48.45pt;margin-top:-4.95pt;height:0pt;width:139.45pt;z-index:-251646976;mso-width-relative:page;mso-height-relative:page;" fillcolor="#FFFFFF" filled="t" stroked="t" coordsize="21600,21600" o:allowincell="f" o:gfxdata="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bJrsNYAAAAIAQAADwAAAAAAAAABACAAAAAiAAAAZHJzL2Rvd25yZXYueG1sUEsBAhQA&#10;FAAAAAgAh07iQDl2Rhq7AQAApwMAAA4AAAAAAAAAAQAgAAAAJQEAAGRycy9lMm9Eb2MueG1sUEsF&#10;BgAAAAAGAAYAWQEAAFIFAAAAAA==&#10;">
                <v:fill on="t" focussize="0,0"/>
                <v:stroke weight="1.19984251968504pt" color="#739CC3" miterlimit="8" joinstyle="miter"/>
                <v:imagedata o:title=""/>
                <o:lock v:ext="edit" aspectratio="f"/>
              </v:line>
            </w:pict>
          </mc:Fallback>
        </mc:AlternateContent>
      </w:r>
    </w:p>
    <w:p>
      <w:pPr>
        <w:rPr>
          <w:rFonts w:asciiTheme="minorEastAsia" w:hAnsiTheme="minorEastAsia" w:eastAsiaTheme="minorEastAsia"/>
          <w:szCs w:val="21"/>
        </w:rPr>
      </w:pPr>
    </w:p>
    <w:p>
      <w:pPr>
        <w:spacing w:line="291" w:lineRule="exact"/>
        <w:rPr>
          <w:rFonts w:asciiTheme="minorEastAsia" w:hAnsiTheme="minorEastAsia" w:eastAsiaTheme="minorEastAsia"/>
          <w:szCs w:val="21"/>
        </w:rPr>
      </w:pPr>
      <w:bookmarkStart w:id="12" w:name="page6"/>
      <w:bookmarkEnd w:id="12"/>
      <w:r>
        <w:rPr>
          <w:rFonts w:cs="Arial" w:asciiTheme="minorEastAsia" w:hAnsiTheme="minorEastAsia" w:eastAsiaTheme="minorEastAsia"/>
          <w:szCs w:val="21"/>
        </w:rPr>
        <w:t>2</w:t>
      </w:r>
      <w:r>
        <w:rPr>
          <w:rFonts w:cs="宋体" w:asciiTheme="minorEastAsia" w:hAnsiTheme="minorEastAsia" w:eastAsiaTheme="minorEastAsia"/>
          <w:szCs w:val="21"/>
        </w:rPr>
        <w:t>、技术参数</w:t>
      </w:r>
    </w:p>
    <w:p>
      <w:pPr>
        <w:spacing w:line="175" w:lineRule="exact"/>
        <w:rPr>
          <w:rFonts w:asciiTheme="minorEastAsia" w:hAnsiTheme="minorEastAsia" w:eastAsiaTheme="minorEastAsia"/>
          <w:szCs w:val="21"/>
        </w:rPr>
      </w:pPr>
    </w:p>
    <w:p>
      <w:pPr>
        <w:spacing w:line="291" w:lineRule="exact"/>
        <w:ind w:left="760"/>
        <w:rPr>
          <w:rFonts w:asciiTheme="minorEastAsia" w:hAnsiTheme="minorEastAsia" w:eastAsiaTheme="minorEastAsia"/>
          <w:szCs w:val="21"/>
        </w:rPr>
      </w:pPr>
      <w:r>
        <w:rPr>
          <w:rFonts w:cs="Arial" w:asciiTheme="minorEastAsia" w:hAnsiTheme="minorEastAsia" w:eastAsiaTheme="minorEastAsia"/>
          <w:b/>
          <w:bCs/>
          <w:szCs w:val="21"/>
        </w:rPr>
        <w:t>1</w:t>
      </w:r>
      <w:r>
        <w:rPr>
          <w:rFonts w:cs="Arial" w:asciiTheme="minorEastAsia" w:hAnsiTheme="minorEastAsia" w:eastAsiaTheme="minorEastAsia"/>
          <w:szCs w:val="21"/>
        </w:rPr>
        <w:t>.</w:t>
      </w:r>
      <w:r>
        <w:rPr>
          <w:rFonts w:cs="宋体" w:asciiTheme="minorEastAsia" w:hAnsiTheme="minorEastAsia" w:eastAsiaTheme="minorEastAsia"/>
          <w:szCs w:val="21"/>
        </w:rPr>
        <w:t>输出额定电压：参见表</w:t>
      </w:r>
      <w:r>
        <w:rPr>
          <w:rFonts w:cs="Arial" w:asciiTheme="minorEastAsia" w:hAnsiTheme="minorEastAsia" w:eastAsiaTheme="minorEastAsia"/>
          <w:szCs w:val="21"/>
        </w:rPr>
        <w:t>3</w:t>
      </w:r>
    </w:p>
    <w:p>
      <w:pPr>
        <w:spacing w:line="180" w:lineRule="exact"/>
        <w:rPr>
          <w:rFonts w:asciiTheme="minorEastAsia" w:hAnsiTheme="minorEastAsia" w:eastAsiaTheme="minorEastAsia"/>
          <w:szCs w:val="21"/>
        </w:rPr>
      </w:pPr>
    </w:p>
    <w:p>
      <w:pPr>
        <w:spacing w:line="291" w:lineRule="exact"/>
        <w:ind w:left="760"/>
        <w:rPr>
          <w:rFonts w:asciiTheme="minorEastAsia" w:hAnsiTheme="minorEastAsia" w:eastAsiaTheme="minorEastAsia"/>
          <w:szCs w:val="21"/>
        </w:rPr>
      </w:pPr>
      <w:r>
        <w:rPr>
          <w:rFonts w:cs="Arial" w:asciiTheme="minorEastAsia" w:hAnsiTheme="minorEastAsia" w:eastAsiaTheme="minorEastAsia"/>
          <w:b/>
          <w:bCs/>
          <w:szCs w:val="21"/>
        </w:rPr>
        <w:t>2</w:t>
      </w:r>
      <w:r>
        <w:rPr>
          <w:rFonts w:cs="Arial" w:asciiTheme="minorEastAsia" w:hAnsiTheme="minorEastAsia" w:eastAsiaTheme="minorEastAsia"/>
          <w:szCs w:val="21"/>
        </w:rPr>
        <w:t>.</w:t>
      </w:r>
      <w:r>
        <w:rPr>
          <w:rFonts w:cs="宋体" w:asciiTheme="minorEastAsia" w:hAnsiTheme="minorEastAsia" w:eastAsiaTheme="minorEastAsia"/>
          <w:szCs w:val="21"/>
        </w:rPr>
        <w:t>输出频率：</w:t>
      </w:r>
      <w:r>
        <w:rPr>
          <w:rFonts w:cs="Arial" w:asciiTheme="minorEastAsia" w:hAnsiTheme="minorEastAsia" w:eastAsiaTheme="minorEastAsia"/>
          <w:szCs w:val="21"/>
        </w:rPr>
        <w:t>0.1Hz</w:t>
      </w:r>
      <w:r>
        <w:rPr>
          <w:rFonts w:cs="宋体" w:asciiTheme="minorEastAsia" w:hAnsiTheme="minorEastAsia" w:eastAsiaTheme="minorEastAsia"/>
          <w:szCs w:val="21"/>
        </w:rPr>
        <w:t>、</w:t>
      </w:r>
      <w:r>
        <w:rPr>
          <w:rFonts w:cs="Arial" w:asciiTheme="minorEastAsia" w:hAnsiTheme="minorEastAsia" w:eastAsiaTheme="minorEastAsia"/>
          <w:szCs w:val="21"/>
        </w:rPr>
        <w:t>0.05Hz</w:t>
      </w:r>
      <w:r>
        <w:rPr>
          <w:rFonts w:cs="宋体" w:asciiTheme="minorEastAsia" w:hAnsiTheme="minorEastAsia" w:eastAsiaTheme="minorEastAsia"/>
          <w:szCs w:val="21"/>
        </w:rPr>
        <w:t>、</w:t>
      </w:r>
      <w:r>
        <w:rPr>
          <w:rFonts w:cs="Arial" w:asciiTheme="minorEastAsia" w:hAnsiTheme="minorEastAsia" w:eastAsiaTheme="minorEastAsia"/>
          <w:szCs w:val="21"/>
        </w:rPr>
        <w:t>0.02Hz</w:t>
      </w:r>
    </w:p>
    <w:p>
      <w:pPr>
        <w:spacing w:line="153" w:lineRule="exact"/>
        <w:rPr>
          <w:rFonts w:asciiTheme="minorEastAsia" w:hAnsiTheme="minorEastAsia" w:eastAsiaTheme="minorEastAsia"/>
          <w:szCs w:val="21"/>
        </w:rPr>
      </w:pPr>
    </w:p>
    <w:p>
      <w:pPr>
        <w:tabs>
          <w:tab w:val="left" w:pos="3380"/>
        </w:tabs>
        <w:spacing w:line="332" w:lineRule="exact"/>
        <w:ind w:left="760"/>
        <w:rPr>
          <w:rFonts w:asciiTheme="minorEastAsia" w:hAnsiTheme="minorEastAsia" w:eastAsiaTheme="minorEastAsia"/>
          <w:szCs w:val="21"/>
        </w:rPr>
      </w:pPr>
      <w:r>
        <w:rPr>
          <w:rFonts w:cs="Arial" w:asciiTheme="minorEastAsia" w:hAnsiTheme="minorEastAsia" w:eastAsiaTheme="minorEastAsia"/>
          <w:b/>
          <w:bCs/>
          <w:szCs w:val="21"/>
        </w:rPr>
        <w:t>3</w:t>
      </w:r>
      <w:r>
        <w:rPr>
          <w:rFonts w:cs="Arial" w:asciiTheme="minorEastAsia" w:hAnsiTheme="minorEastAsia" w:eastAsiaTheme="minorEastAsia"/>
          <w:szCs w:val="21"/>
        </w:rPr>
        <w:t>.</w:t>
      </w:r>
      <w:r>
        <w:rPr>
          <w:rFonts w:cs="宋体" w:asciiTheme="minorEastAsia" w:hAnsiTheme="minorEastAsia" w:eastAsiaTheme="minorEastAsia"/>
          <w:szCs w:val="21"/>
        </w:rPr>
        <w:t>带载能力：</w:t>
      </w:r>
      <w:r>
        <w:rPr>
          <w:rFonts w:cs="Arial" w:asciiTheme="minorEastAsia" w:hAnsiTheme="minorEastAsia" w:eastAsiaTheme="minorEastAsia"/>
          <w:szCs w:val="21"/>
        </w:rPr>
        <w:t>0.1Hz</w:t>
      </w:r>
      <w:r>
        <w:rPr>
          <w:rFonts w:asciiTheme="minorEastAsia" w:hAnsiTheme="minorEastAsia" w:eastAsiaTheme="minorEastAsia"/>
          <w:szCs w:val="21"/>
        </w:rPr>
        <w:tab/>
      </w:r>
      <w:r>
        <w:rPr>
          <w:rFonts w:cs="宋体" w:asciiTheme="minorEastAsia" w:hAnsiTheme="minorEastAsia" w:eastAsiaTheme="minorEastAsia"/>
          <w:szCs w:val="21"/>
        </w:rPr>
        <w:t xml:space="preserve">最大 </w:t>
      </w:r>
      <w:r>
        <w:rPr>
          <w:rFonts w:cs="Arial" w:asciiTheme="minorEastAsia" w:hAnsiTheme="minorEastAsia" w:eastAsiaTheme="minorEastAsia"/>
          <w:szCs w:val="21"/>
        </w:rPr>
        <w:t>1.1</w:t>
      </w:r>
      <w:r>
        <w:rPr>
          <w:rFonts w:cs="Calibri" w:asciiTheme="minorEastAsia" w:hAnsiTheme="minorEastAsia" w:eastAsiaTheme="minorEastAsia"/>
          <w:szCs w:val="21"/>
        </w:rPr>
        <w:t>µ</w:t>
      </w:r>
      <w:r>
        <w:rPr>
          <w:rFonts w:cs="Arial" w:asciiTheme="minorEastAsia" w:hAnsiTheme="minorEastAsia" w:eastAsiaTheme="minorEastAsia"/>
          <w:szCs w:val="21"/>
        </w:rPr>
        <w:t>F</w:t>
      </w:r>
    </w:p>
    <w:p>
      <w:pPr>
        <w:spacing w:line="175" w:lineRule="exact"/>
        <w:rPr>
          <w:rFonts w:asciiTheme="minorEastAsia" w:hAnsiTheme="minorEastAsia" w:eastAsiaTheme="minorEastAsia"/>
          <w:szCs w:val="21"/>
        </w:rPr>
      </w:pPr>
    </w:p>
    <w:p>
      <w:pPr>
        <w:spacing w:line="305" w:lineRule="exact"/>
        <w:ind w:left="2460"/>
        <w:rPr>
          <w:rFonts w:asciiTheme="minorEastAsia" w:hAnsiTheme="minorEastAsia" w:eastAsiaTheme="minorEastAsia"/>
          <w:szCs w:val="21"/>
        </w:rPr>
      </w:pPr>
      <w:r>
        <w:rPr>
          <w:rFonts w:cs="Arial" w:asciiTheme="minorEastAsia" w:hAnsiTheme="minorEastAsia" w:eastAsiaTheme="minorEastAsia"/>
          <w:szCs w:val="21"/>
        </w:rPr>
        <w:t xml:space="preserve">0.05Hz </w:t>
      </w:r>
      <w:r>
        <w:rPr>
          <w:rFonts w:cs="宋体" w:asciiTheme="minorEastAsia" w:hAnsiTheme="minorEastAsia" w:eastAsiaTheme="minorEastAsia"/>
          <w:szCs w:val="21"/>
        </w:rPr>
        <w:t>最大</w:t>
      </w:r>
      <w:r>
        <w:rPr>
          <w:rFonts w:cs="Arial" w:asciiTheme="minorEastAsia" w:hAnsiTheme="minorEastAsia" w:eastAsiaTheme="minorEastAsia"/>
          <w:szCs w:val="21"/>
        </w:rPr>
        <w:t xml:space="preserve"> 2.2</w:t>
      </w:r>
      <w:r>
        <w:rPr>
          <w:rFonts w:cs="Calibri" w:asciiTheme="minorEastAsia" w:hAnsiTheme="minorEastAsia" w:eastAsiaTheme="minorEastAsia"/>
          <w:szCs w:val="21"/>
        </w:rPr>
        <w:t>µ</w:t>
      </w:r>
      <w:r>
        <w:rPr>
          <w:rFonts w:cs="Arial" w:asciiTheme="minorEastAsia" w:hAnsiTheme="minorEastAsia" w:eastAsiaTheme="minorEastAsia"/>
          <w:szCs w:val="21"/>
        </w:rPr>
        <w:t>F</w:t>
      </w:r>
    </w:p>
    <w:p>
      <w:pPr>
        <w:spacing w:line="161" w:lineRule="exact"/>
        <w:rPr>
          <w:rFonts w:asciiTheme="minorEastAsia" w:hAnsiTheme="minorEastAsia" w:eastAsiaTheme="minorEastAsia"/>
          <w:szCs w:val="21"/>
        </w:rPr>
      </w:pPr>
    </w:p>
    <w:p>
      <w:pPr>
        <w:spacing w:line="305" w:lineRule="exact"/>
        <w:ind w:left="2460"/>
        <w:rPr>
          <w:rFonts w:asciiTheme="minorEastAsia" w:hAnsiTheme="minorEastAsia" w:eastAsiaTheme="minorEastAsia"/>
          <w:szCs w:val="21"/>
        </w:rPr>
      </w:pPr>
      <w:r>
        <w:rPr>
          <w:rFonts w:cs="Arial" w:asciiTheme="minorEastAsia" w:hAnsiTheme="minorEastAsia" w:eastAsiaTheme="minorEastAsia"/>
          <w:szCs w:val="21"/>
        </w:rPr>
        <w:t xml:space="preserve">0.02Hz </w:t>
      </w:r>
      <w:r>
        <w:rPr>
          <w:rFonts w:cs="宋体" w:asciiTheme="minorEastAsia" w:hAnsiTheme="minorEastAsia" w:eastAsiaTheme="minorEastAsia"/>
          <w:szCs w:val="21"/>
        </w:rPr>
        <w:t>最大</w:t>
      </w:r>
      <w:r>
        <w:rPr>
          <w:rFonts w:cs="Arial" w:asciiTheme="minorEastAsia" w:hAnsiTheme="minorEastAsia" w:eastAsiaTheme="minorEastAsia"/>
          <w:szCs w:val="21"/>
        </w:rPr>
        <w:t xml:space="preserve"> 5.5</w:t>
      </w:r>
      <w:r>
        <w:rPr>
          <w:rFonts w:cs="Calibri" w:asciiTheme="minorEastAsia" w:hAnsiTheme="minorEastAsia" w:eastAsiaTheme="minorEastAsia"/>
          <w:szCs w:val="21"/>
        </w:rPr>
        <w:t>µ</w:t>
      </w:r>
      <w:r>
        <w:rPr>
          <w:rFonts w:cs="Arial" w:asciiTheme="minorEastAsia" w:hAnsiTheme="minorEastAsia" w:eastAsiaTheme="minorEastAsia"/>
          <w:szCs w:val="21"/>
        </w:rPr>
        <w:t>F</w:t>
      </w:r>
    </w:p>
    <w:p>
      <w:pPr>
        <w:spacing w:line="152" w:lineRule="exact"/>
        <w:rPr>
          <w:rFonts w:asciiTheme="minorEastAsia" w:hAnsiTheme="minorEastAsia" w:eastAsiaTheme="minorEastAsia"/>
          <w:szCs w:val="21"/>
        </w:rPr>
      </w:pPr>
    </w:p>
    <w:p>
      <w:pPr>
        <w:spacing w:line="291" w:lineRule="exact"/>
        <w:ind w:left="760"/>
        <w:rPr>
          <w:rFonts w:asciiTheme="minorEastAsia" w:hAnsiTheme="minorEastAsia" w:eastAsiaTheme="minorEastAsia"/>
          <w:szCs w:val="21"/>
        </w:rPr>
      </w:pPr>
      <w:r>
        <w:rPr>
          <w:rFonts w:cs="Arial" w:asciiTheme="minorEastAsia" w:hAnsiTheme="minorEastAsia" w:eastAsiaTheme="minorEastAsia"/>
          <w:b/>
          <w:bCs/>
          <w:szCs w:val="21"/>
        </w:rPr>
        <w:t>4</w:t>
      </w:r>
      <w:r>
        <w:rPr>
          <w:rFonts w:cs="Arial" w:asciiTheme="minorEastAsia" w:hAnsiTheme="minorEastAsia" w:eastAsiaTheme="minorEastAsia"/>
          <w:szCs w:val="21"/>
        </w:rPr>
        <w:t>.</w:t>
      </w:r>
      <w:r>
        <w:rPr>
          <w:rFonts w:cs="宋体" w:asciiTheme="minorEastAsia" w:hAnsiTheme="minorEastAsia" w:eastAsiaTheme="minorEastAsia"/>
          <w:szCs w:val="21"/>
        </w:rPr>
        <w:t>测量精度：</w:t>
      </w:r>
      <w:r>
        <w:rPr>
          <w:rFonts w:cs="Arial" w:asciiTheme="minorEastAsia" w:hAnsiTheme="minorEastAsia" w:eastAsiaTheme="minorEastAsia"/>
          <w:szCs w:val="21"/>
        </w:rPr>
        <w:t>3%</w:t>
      </w:r>
    </w:p>
    <w:p>
      <w:pPr>
        <w:spacing w:line="175" w:lineRule="exact"/>
        <w:rPr>
          <w:rFonts w:asciiTheme="minorEastAsia" w:hAnsiTheme="minorEastAsia" w:eastAsiaTheme="minorEastAsia"/>
          <w:szCs w:val="21"/>
        </w:rPr>
      </w:pPr>
    </w:p>
    <w:p>
      <w:pPr>
        <w:spacing w:line="291" w:lineRule="exact"/>
        <w:ind w:left="760"/>
        <w:rPr>
          <w:rFonts w:asciiTheme="minorEastAsia" w:hAnsiTheme="minorEastAsia" w:eastAsiaTheme="minorEastAsia"/>
          <w:szCs w:val="21"/>
        </w:rPr>
      </w:pPr>
      <w:r>
        <w:rPr>
          <w:rFonts w:cs="Arial" w:asciiTheme="minorEastAsia" w:hAnsiTheme="minorEastAsia" w:eastAsiaTheme="minorEastAsia"/>
          <w:b/>
          <w:bCs/>
          <w:szCs w:val="21"/>
        </w:rPr>
        <w:t>5</w:t>
      </w:r>
      <w:r>
        <w:rPr>
          <w:rFonts w:cs="Arial" w:asciiTheme="minorEastAsia" w:hAnsiTheme="minorEastAsia" w:eastAsiaTheme="minorEastAsia"/>
          <w:szCs w:val="21"/>
        </w:rPr>
        <w:t>.</w:t>
      </w:r>
      <w:r>
        <w:rPr>
          <w:rFonts w:cs="宋体" w:asciiTheme="minorEastAsia" w:hAnsiTheme="minorEastAsia" w:eastAsiaTheme="minorEastAsia"/>
          <w:szCs w:val="21"/>
        </w:rPr>
        <w:t>电压正，负峰值误差：</w:t>
      </w:r>
      <w:r>
        <w:rPr>
          <w:rFonts w:cs="Arial" w:asciiTheme="minorEastAsia" w:hAnsiTheme="minorEastAsia" w:eastAsiaTheme="minorEastAsia"/>
          <w:szCs w:val="21"/>
        </w:rPr>
        <w:t>≤3</w:t>
      </w:r>
      <w:r>
        <w:rPr>
          <w:rFonts w:cs="宋体" w:asciiTheme="minorEastAsia" w:hAnsiTheme="minorEastAsia" w:eastAsiaTheme="minorEastAsia"/>
          <w:szCs w:val="21"/>
        </w:rPr>
        <w:t>％</w:t>
      </w:r>
    </w:p>
    <w:p>
      <w:pPr>
        <w:spacing w:line="180" w:lineRule="exact"/>
        <w:rPr>
          <w:rFonts w:asciiTheme="minorEastAsia" w:hAnsiTheme="minorEastAsia" w:eastAsiaTheme="minorEastAsia"/>
          <w:szCs w:val="21"/>
        </w:rPr>
      </w:pPr>
    </w:p>
    <w:p>
      <w:pPr>
        <w:spacing w:line="291" w:lineRule="exact"/>
        <w:ind w:left="760"/>
        <w:rPr>
          <w:rFonts w:asciiTheme="minorEastAsia" w:hAnsiTheme="minorEastAsia" w:eastAsiaTheme="minorEastAsia"/>
          <w:szCs w:val="21"/>
        </w:rPr>
      </w:pPr>
      <w:r>
        <w:rPr>
          <w:rFonts w:cs="Arial" w:asciiTheme="minorEastAsia" w:hAnsiTheme="minorEastAsia" w:eastAsiaTheme="minorEastAsia"/>
          <w:b/>
          <w:bCs/>
          <w:szCs w:val="21"/>
        </w:rPr>
        <w:t>6</w:t>
      </w:r>
      <w:r>
        <w:rPr>
          <w:rFonts w:cs="Arial" w:asciiTheme="minorEastAsia" w:hAnsiTheme="minorEastAsia" w:eastAsiaTheme="minorEastAsia"/>
          <w:szCs w:val="21"/>
        </w:rPr>
        <w:t>.</w:t>
      </w:r>
      <w:r>
        <w:rPr>
          <w:rFonts w:cs="宋体" w:asciiTheme="minorEastAsia" w:hAnsiTheme="minorEastAsia" w:eastAsiaTheme="minorEastAsia"/>
          <w:szCs w:val="21"/>
        </w:rPr>
        <w:t>电压波形失真度：</w:t>
      </w:r>
      <w:r>
        <w:rPr>
          <w:rFonts w:cs="Arial" w:asciiTheme="minorEastAsia" w:hAnsiTheme="minorEastAsia" w:eastAsiaTheme="minorEastAsia"/>
          <w:szCs w:val="21"/>
        </w:rPr>
        <w:t>≤5</w:t>
      </w:r>
      <w:r>
        <w:rPr>
          <w:rFonts w:cs="宋体" w:asciiTheme="minorEastAsia" w:hAnsiTheme="minorEastAsia" w:eastAsiaTheme="minorEastAsia"/>
          <w:szCs w:val="21"/>
        </w:rPr>
        <w:t>％</w:t>
      </w:r>
    </w:p>
    <w:p>
      <w:pPr>
        <w:spacing w:line="175" w:lineRule="exact"/>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7.使用条件：户内、户外；温度：-10</w:t>
      </w:r>
      <w:r>
        <w:rPr>
          <w:rFonts w:hint="eastAsia" w:cs="宋体" w:asciiTheme="minorEastAsia" w:hAnsiTheme="minorEastAsia" w:eastAsiaTheme="minorEastAsia"/>
          <w:szCs w:val="21"/>
        </w:rPr>
        <w:t>℃</w:t>
      </w:r>
      <w:r>
        <w:rPr>
          <w:rFonts w:asciiTheme="minorEastAsia" w:hAnsiTheme="minorEastAsia" w:eastAsiaTheme="minorEastAsia"/>
          <w:szCs w:val="21"/>
        </w:rPr>
        <w:t>～+40</w:t>
      </w:r>
      <w:r>
        <w:rPr>
          <w:rFonts w:hint="eastAsia" w:cs="宋体" w:asciiTheme="minorEastAsia" w:hAnsiTheme="minorEastAsia" w:eastAsiaTheme="minorEastAsia"/>
          <w:szCs w:val="21"/>
        </w:rPr>
        <w:t>℃</w:t>
      </w:r>
      <w:r>
        <w:rPr>
          <w:rFonts w:asciiTheme="minorEastAsia" w:hAnsiTheme="minorEastAsia" w:eastAsiaTheme="minorEastAsia"/>
          <w:szCs w:val="21"/>
        </w:rPr>
        <w:t>；湿度：≤85％RH</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8.电源保险管：参见表3</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9.电源：电压220V±5%，50±5Hz</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注意：若使用便携式发电机供电，要求发电机输出电压、频率稳定（一般要求功率大于 3kW，频率 50Hz，电压 220V±5%</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10.被试品电容量不得超过仪器额定电容量最大值，数值大小见表 3；</w:t>
      </w:r>
    </w:p>
    <w:p>
      <w:pPr>
        <w:spacing w:line="291" w:lineRule="exact"/>
        <w:ind w:left="720"/>
        <w:jc w:val="center"/>
        <w:rPr>
          <w:rFonts w:cs="宋体" w:asciiTheme="minorEastAsia" w:hAnsiTheme="minorEastAsia" w:eastAsiaTheme="minorEastAsia"/>
          <w:szCs w:val="21"/>
        </w:rPr>
      </w:pPr>
      <w:r>
        <w:rPr>
          <w:rFonts w:hint="eastAsia" w:cs="宋体" w:asciiTheme="minorEastAsia" w:hAnsiTheme="minorEastAsia" w:eastAsiaTheme="minorEastAsia"/>
          <w:szCs w:val="21"/>
        </w:rPr>
        <w:t>表 3</w:t>
      </w:r>
      <w:r>
        <w:rPr>
          <w:rFonts w:hint="eastAsia" w:cs="宋体" w:asciiTheme="minorEastAsia" w:hAnsiTheme="minorEastAsia" w:eastAsiaTheme="minorEastAsia"/>
          <w:szCs w:val="21"/>
        </w:rPr>
        <w:tab/>
      </w:r>
      <w:r>
        <w:rPr>
          <w:rFonts w:hint="eastAsia" w:cs="宋体" w:asciiTheme="minorEastAsia" w:hAnsiTheme="minorEastAsia" w:eastAsiaTheme="minorEastAsia"/>
          <w:szCs w:val="21"/>
        </w:rPr>
        <w:t>系列超低频高压发生器主要技术参数</w:t>
      </w:r>
    </w:p>
    <w:p>
      <w:pPr>
        <w:spacing w:line="291" w:lineRule="exact"/>
        <w:ind w:left="720"/>
        <w:jc w:val="center"/>
        <w:rPr>
          <w:rFonts w:cs="宋体" w:asciiTheme="minorEastAsia" w:hAnsiTheme="minorEastAsia" w:eastAsiaTheme="minorEastAsia"/>
          <w:szCs w:val="21"/>
        </w:rPr>
      </w:pPr>
    </w:p>
    <w:tbl>
      <w:tblPr>
        <w:tblStyle w:val="2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706"/>
        <w:gridCol w:w="1683"/>
        <w:gridCol w:w="1786"/>
        <w:gridCol w:w="1658"/>
        <w:gridCol w:w="16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8" w:hRule="atLeast"/>
          <w:jc w:val="center"/>
        </w:trPr>
        <w:tc>
          <w:tcPr>
            <w:tcW w:w="1706" w:type="dxa"/>
            <w:shd w:val="clear" w:color="auto" w:fill="auto"/>
            <w:vAlign w:val="center"/>
          </w:tcPr>
          <w:p>
            <w:pPr>
              <w:spacing w:line="291"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型号</w:t>
            </w:r>
          </w:p>
        </w:tc>
        <w:tc>
          <w:tcPr>
            <w:tcW w:w="1683" w:type="dxa"/>
            <w:shd w:val="clear" w:color="auto" w:fill="auto"/>
            <w:vAlign w:val="center"/>
          </w:tcPr>
          <w:p>
            <w:pPr>
              <w:spacing w:line="291"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额定电压</w:t>
            </w:r>
          </w:p>
        </w:tc>
        <w:tc>
          <w:tcPr>
            <w:tcW w:w="1786" w:type="dxa"/>
            <w:shd w:val="clear" w:color="auto" w:fill="auto"/>
            <w:vAlign w:val="center"/>
          </w:tcPr>
          <w:p>
            <w:pPr>
              <w:spacing w:line="291"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带载能力</w:t>
            </w:r>
          </w:p>
        </w:tc>
        <w:tc>
          <w:tcPr>
            <w:tcW w:w="1658" w:type="dxa"/>
            <w:shd w:val="clear" w:color="auto" w:fill="auto"/>
            <w:vAlign w:val="center"/>
          </w:tcPr>
          <w:p>
            <w:pPr>
              <w:spacing w:line="291"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电源保险管</w:t>
            </w:r>
          </w:p>
        </w:tc>
        <w:tc>
          <w:tcPr>
            <w:tcW w:w="1683" w:type="dxa"/>
            <w:shd w:val="clear" w:color="auto" w:fill="auto"/>
            <w:vAlign w:val="center"/>
          </w:tcPr>
          <w:p>
            <w:pPr>
              <w:spacing w:line="291"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产品结构、重量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30/1.1</w:t>
            </w:r>
          </w:p>
        </w:tc>
        <w:tc>
          <w:tcPr>
            <w:tcW w:w="1683"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30kv（峰值）</w:t>
            </w: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0.1Hz,</w:t>
            </w:r>
            <w:r>
              <w:rPr>
                <w:rFonts w:cs="Arial" w:asciiTheme="minorEastAsia" w:hAnsiTheme="minorEastAsia" w:eastAsiaTheme="minorEastAsia"/>
                <w:szCs w:val="21"/>
              </w:rPr>
              <w:t>≤</w:t>
            </w:r>
            <w:r>
              <w:rPr>
                <w:rFonts w:cs="Calibri" w:asciiTheme="minorEastAsia" w:hAnsiTheme="minorEastAsia" w:eastAsiaTheme="minorEastAsia"/>
                <w:szCs w:val="21"/>
              </w:rPr>
              <w:t>1.1µF</w:t>
            </w:r>
          </w:p>
        </w:tc>
        <w:tc>
          <w:tcPr>
            <w:tcW w:w="1658"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20</w:t>
            </w:r>
            <w:r>
              <w:rPr>
                <w:rFonts w:asciiTheme="minorEastAsia" w:hAnsiTheme="minorEastAsia" w:eastAsiaTheme="minorEastAsia"/>
                <w:szCs w:val="21"/>
              </w:rPr>
              <w:t>A</w:t>
            </w:r>
          </w:p>
        </w:tc>
        <w:tc>
          <w:tcPr>
            <w:tcW w:w="1683" w:type="dxa"/>
            <w:vMerge w:val="restart"/>
            <w:shd w:val="clear" w:color="auto" w:fill="auto"/>
            <w:vAlign w:val="center"/>
          </w:tcPr>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控制器：</w:t>
            </w:r>
            <w:r>
              <w:rPr>
                <w:rFonts w:cs="Calibri" w:asciiTheme="minorEastAsia" w:hAnsiTheme="minorEastAsia" w:eastAsiaTheme="minorEastAsia"/>
                <w:szCs w:val="21"/>
              </w:rPr>
              <w:t>6</w:t>
            </w:r>
            <w:r>
              <w:rPr>
                <w:rFonts w:hint="eastAsia" w:cs="宋体" w:asciiTheme="minorEastAsia" w:hAnsiTheme="minorEastAsia" w:eastAsiaTheme="minorEastAsia"/>
                <w:szCs w:val="21"/>
              </w:rPr>
              <w:t>kg</w:t>
            </w:r>
          </w:p>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升压器：</w:t>
            </w:r>
            <w:r>
              <w:rPr>
                <w:rFonts w:hint="eastAsia" w:cs="Calibri" w:asciiTheme="minorEastAsia" w:hAnsiTheme="minorEastAsia" w:eastAsiaTheme="minorEastAsia"/>
                <w:szCs w:val="21"/>
              </w:rPr>
              <w:t>20</w:t>
            </w:r>
            <w:r>
              <w:rPr>
                <w:rFonts w:hint="eastAsia" w:cs="宋体" w:asciiTheme="minorEastAsia" w:hAnsiTheme="minorEastAsia" w:eastAsiaTheme="minorEastAsia"/>
                <w:szCs w:val="21"/>
              </w:rPr>
              <w:t>kg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0.05Hz,</w:t>
            </w:r>
            <w:r>
              <w:rPr>
                <w:rFonts w:cs="Arial" w:asciiTheme="minorEastAsia" w:hAnsiTheme="minorEastAsia" w:eastAsiaTheme="minorEastAsia"/>
                <w:szCs w:val="21"/>
              </w:rPr>
              <w:t>≤</w:t>
            </w:r>
            <w:r>
              <w:rPr>
                <w:rFonts w:cs="Calibri" w:asciiTheme="minorEastAsia" w:hAnsiTheme="minorEastAsia" w:eastAsiaTheme="minorEastAsia"/>
                <w:szCs w:val="21"/>
              </w:rPr>
              <w:t>2.2µF</w:t>
            </w:r>
          </w:p>
        </w:tc>
        <w:tc>
          <w:tcPr>
            <w:tcW w:w="1658"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0.02Hz,</w:t>
            </w:r>
            <w:r>
              <w:rPr>
                <w:rFonts w:cs="Arial" w:asciiTheme="minorEastAsia" w:hAnsiTheme="minorEastAsia" w:eastAsiaTheme="minorEastAsia"/>
                <w:szCs w:val="21"/>
              </w:rPr>
              <w:t>≤</w:t>
            </w:r>
            <w:r>
              <w:rPr>
                <w:rFonts w:cs="Calibri" w:asciiTheme="minorEastAsia" w:hAnsiTheme="minorEastAsia" w:eastAsiaTheme="minorEastAsia"/>
                <w:szCs w:val="21"/>
              </w:rPr>
              <w:t>5.5µF</w:t>
            </w:r>
          </w:p>
        </w:tc>
        <w:tc>
          <w:tcPr>
            <w:tcW w:w="1658"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50/1.1</w:t>
            </w:r>
          </w:p>
        </w:tc>
        <w:tc>
          <w:tcPr>
            <w:tcW w:w="1683"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50kv（峰值）</w:t>
            </w: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0.1Hz,</w:t>
            </w:r>
            <w:r>
              <w:rPr>
                <w:rFonts w:cs="Arial" w:asciiTheme="minorEastAsia" w:hAnsiTheme="minorEastAsia" w:eastAsiaTheme="minorEastAsia"/>
                <w:szCs w:val="21"/>
              </w:rPr>
              <w:t>≤</w:t>
            </w:r>
            <w:r>
              <w:rPr>
                <w:rFonts w:cs="Calibri" w:asciiTheme="minorEastAsia" w:hAnsiTheme="minorEastAsia" w:eastAsiaTheme="minorEastAsia"/>
                <w:szCs w:val="21"/>
              </w:rPr>
              <w:t>1.1µF</w:t>
            </w:r>
          </w:p>
        </w:tc>
        <w:tc>
          <w:tcPr>
            <w:tcW w:w="1658"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cs="Calibri" w:asciiTheme="minorEastAsia" w:hAnsiTheme="minorEastAsia" w:eastAsiaTheme="minorEastAsia"/>
                <w:szCs w:val="21"/>
              </w:rPr>
              <w:t>2</w:t>
            </w:r>
            <w:r>
              <w:rPr>
                <w:rFonts w:cs="Calibri" w:asciiTheme="minorEastAsia" w:hAnsiTheme="minorEastAsia" w:eastAsiaTheme="minorEastAsia"/>
                <w:szCs w:val="21"/>
              </w:rPr>
              <w:t>0A</w:t>
            </w:r>
          </w:p>
        </w:tc>
        <w:tc>
          <w:tcPr>
            <w:tcW w:w="1683" w:type="dxa"/>
            <w:vMerge w:val="restart"/>
            <w:shd w:val="clear" w:color="auto" w:fill="auto"/>
            <w:vAlign w:val="center"/>
          </w:tcPr>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控制器：</w:t>
            </w:r>
            <w:r>
              <w:rPr>
                <w:rFonts w:cs="Calibri" w:asciiTheme="minorEastAsia" w:hAnsiTheme="minorEastAsia" w:eastAsiaTheme="minorEastAsia"/>
                <w:szCs w:val="21"/>
              </w:rPr>
              <w:t>6</w:t>
            </w:r>
            <w:r>
              <w:rPr>
                <w:rFonts w:hint="eastAsia" w:cs="宋体" w:asciiTheme="minorEastAsia" w:hAnsiTheme="minorEastAsia" w:eastAsiaTheme="minorEastAsia"/>
                <w:szCs w:val="21"/>
              </w:rPr>
              <w:t xml:space="preserve"> kg</w:t>
            </w:r>
          </w:p>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升压器：</w:t>
            </w:r>
            <w:r>
              <w:rPr>
                <w:rFonts w:cs="Calibri" w:asciiTheme="minorEastAsia" w:hAnsiTheme="minorEastAsia" w:eastAsiaTheme="minorEastAsia"/>
                <w:szCs w:val="21"/>
              </w:rPr>
              <w:t>45</w:t>
            </w:r>
            <w:r>
              <w:rPr>
                <w:rFonts w:cs="宋体" w:asciiTheme="minorEastAsia" w:hAnsiTheme="minorEastAsia" w:eastAsiaTheme="minorEastAsia"/>
                <w:b/>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0.05Hz,</w:t>
            </w:r>
            <w:r>
              <w:rPr>
                <w:rFonts w:cs="Arial" w:asciiTheme="minorEastAsia" w:hAnsiTheme="minorEastAsia" w:eastAsiaTheme="minorEastAsia"/>
                <w:szCs w:val="21"/>
              </w:rPr>
              <w:t>≤</w:t>
            </w:r>
            <w:r>
              <w:rPr>
                <w:rFonts w:cs="Calibri" w:asciiTheme="minorEastAsia" w:hAnsiTheme="minorEastAsia" w:eastAsiaTheme="minorEastAsia"/>
                <w:szCs w:val="21"/>
              </w:rPr>
              <w:t>2.2µF</w:t>
            </w:r>
          </w:p>
        </w:tc>
        <w:tc>
          <w:tcPr>
            <w:tcW w:w="1658"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0.02Hz,</w:t>
            </w:r>
            <w:r>
              <w:rPr>
                <w:rFonts w:cs="Arial" w:asciiTheme="minorEastAsia" w:hAnsiTheme="minorEastAsia" w:eastAsiaTheme="minorEastAsia"/>
                <w:szCs w:val="21"/>
              </w:rPr>
              <w:t>≤</w:t>
            </w:r>
            <w:r>
              <w:rPr>
                <w:rFonts w:cs="Calibri" w:asciiTheme="minorEastAsia" w:hAnsiTheme="minorEastAsia" w:eastAsiaTheme="minorEastAsia"/>
                <w:szCs w:val="21"/>
              </w:rPr>
              <w:t>5.5µF</w:t>
            </w:r>
          </w:p>
        </w:tc>
        <w:tc>
          <w:tcPr>
            <w:tcW w:w="1658" w:type="dxa"/>
            <w:vMerge w:val="continue"/>
            <w:shd w:val="clear" w:color="auto" w:fill="auto"/>
            <w:vAlign w:val="center"/>
          </w:tcPr>
          <w:p>
            <w:pPr>
              <w:spacing w:line="291" w:lineRule="exact"/>
              <w:jc w:val="center"/>
              <w:rPr>
                <w:rFonts w:asciiTheme="minorEastAsia" w:hAnsiTheme="minorEastAsia" w:eastAsiaTheme="minorEastAsia"/>
                <w:szCs w:val="21"/>
              </w:rPr>
            </w:pPr>
          </w:p>
        </w:tc>
        <w:tc>
          <w:tcPr>
            <w:tcW w:w="1683" w:type="dxa"/>
            <w:vMerge w:val="continue"/>
            <w:shd w:val="clear" w:color="auto" w:fill="auto"/>
            <w:vAlign w:val="center"/>
          </w:tcPr>
          <w:p>
            <w:pPr>
              <w:spacing w:line="291" w:lineRule="exact"/>
              <w:jc w:val="center"/>
              <w:rPr>
                <w:rFonts w:asciiTheme="minorEastAsia" w:hAnsiTheme="minorEastAsia" w:eastAsia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80/0.5</w:t>
            </w:r>
          </w:p>
        </w:tc>
        <w:tc>
          <w:tcPr>
            <w:tcW w:w="1683"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80 kv（峰值）</w:t>
            </w:r>
          </w:p>
        </w:tc>
        <w:tc>
          <w:tcPr>
            <w:tcW w:w="1786" w:type="dxa"/>
            <w:shd w:val="clear" w:color="auto" w:fill="auto"/>
            <w:vAlign w:val="center"/>
          </w:tcPr>
          <w:p>
            <w:pPr>
              <w:spacing w:line="291" w:lineRule="exact"/>
              <w:jc w:val="center"/>
              <w:rPr>
                <w:rFonts w:asciiTheme="minorEastAsia" w:hAnsiTheme="minorEastAsia" w:eastAsiaTheme="minorEastAsia"/>
                <w:szCs w:val="21"/>
              </w:rPr>
            </w:pPr>
            <w:r>
              <w:rPr>
                <w:rFonts w:cs="Calibri" w:asciiTheme="minorEastAsia" w:hAnsiTheme="minorEastAsia" w:eastAsiaTheme="minorEastAsia"/>
                <w:szCs w:val="21"/>
              </w:rPr>
              <w:t>0.1Hz,</w:t>
            </w:r>
            <w:r>
              <w:rPr>
                <w:rFonts w:cs="Arial" w:asciiTheme="minorEastAsia" w:hAnsiTheme="minorEastAsia" w:eastAsiaTheme="minorEastAsia"/>
                <w:szCs w:val="21"/>
              </w:rPr>
              <w:t>≤</w:t>
            </w:r>
            <w:r>
              <w:rPr>
                <w:rFonts w:cs="Calibri" w:asciiTheme="minorEastAsia" w:hAnsiTheme="minorEastAsia" w:eastAsiaTheme="minorEastAsia"/>
                <w:szCs w:val="21"/>
              </w:rPr>
              <w:t>1.1µF</w:t>
            </w:r>
          </w:p>
        </w:tc>
        <w:tc>
          <w:tcPr>
            <w:tcW w:w="1658" w:type="dxa"/>
            <w:vMerge w:val="restart"/>
            <w:shd w:val="clear" w:color="auto" w:fill="auto"/>
            <w:vAlign w:val="center"/>
          </w:tcPr>
          <w:p>
            <w:pPr>
              <w:spacing w:line="291" w:lineRule="exact"/>
              <w:jc w:val="center"/>
              <w:rPr>
                <w:rFonts w:asciiTheme="minorEastAsia" w:hAnsiTheme="minorEastAsia" w:eastAsiaTheme="minorEastAsia"/>
                <w:szCs w:val="21"/>
              </w:rPr>
            </w:pPr>
            <w:r>
              <w:rPr>
                <w:rFonts w:hint="eastAsia" w:asciiTheme="minorEastAsia" w:hAnsiTheme="minorEastAsia" w:eastAsiaTheme="minorEastAsia"/>
                <w:szCs w:val="21"/>
              </w:rPr>
              <w:t>30A</w:t>
            </w:r>
          </w:p>
        </w:tc>
        <w:tc>
          <w:tcPr>
            <w:tcW w:w="1683" w:type="dxa"/>
            <w:vMerge w:val="restart"/>
            <w:shd w:val="clear" w:color="auto" w:fill="auto"/>
            <w:vAlign w:val="center"/>
          </w:tcPr>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控制器：</w:t>
            </w:r>
            <w:r>
              <w:rPr>
                <w:rFonts w:cs="Calibri" w:asciiTheme="minorEastAsia" w:hAnsiTheme="minorEastAsia" w:eastAsiaTheme="minorEastAsia"/>
                <w:szCs w:val="21"/>
              </w:rPr>
              <w:t xml:space="preserve">4 </w:t>
            </w:r>
            <w:r>
              <w:rPr>
                <w:rFonts w:hint="eastAsia" w:cs="宋体" w:asciiTheme="minorEastAsia" w:hAnsiTheme="minorEastAsia" w:eastAsiaTheme="minorEastAsia"/>
                <w:szCs w:val="21"/>
              </w:rPr>
              <w:t>kg</w:t>
            </w:r>
          </w:p>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升压器：</w:t>
            </w:r>
            <w:r>
              <w:rPr>
                <w:rFonts w:hint="eastAsia" w:cs="Calibri" w:asciiTheme="minorEastAsia" w:hAnsiTheme="minorEastAsia" w:eastAsiaTheme="minorEastAsia"/>
                <w:szCs w:val="21"/>
              </w:rPr>
              <w:t>50</w:t>
            </w:r>
            <w:r>
              <w:rPr>
                <w:rFonts w:hint="eastAsia" w:cs="宋体" w:asciiTheme="minorEastAsia" w:hAnsiTheme="minorEastAsia" w:eastAsiaTheme="minorEastAsia"/>
                <w:szCs w:val="21"/>
              </w:rPr>
              <w:t xml:space="preserve"> kg</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continue"/>
            <w:shd w:val="clear" w:color="auto" w:fill="auto"/>
          </w:tcPr>
          <w:p>
            <w:pPr>
              <w:spacing w:line="291" w:lineRule="exact"/>
              <w:rPr>
                <w:rFonts w:asciiTheme="minorEastAsia" w:hAnsiTheme="minorEastAsia" w:eastAsiaTheme="minorEastAsia"/>
                <w:szCs w:val="21"/>
              </w:rPr>
            </w:pPr>
          </w:p>
        </w:tc>
        <w:tc>
          <w:tcPr>
            <w:tcW w:w="1683" w:type="dxa"/>
            <w:vMerge w:val="continue"/>
            <w:shd w:val="clear" w:color="auto" w:fill="auto"/>
          </w:tcPr>
          <w:p>
            <w:pPr>
              <w:spacing w:line="291" w:lineRule="exact"/>
              <w:rPr>
                <w:rFonts w:asciiTheme="minorEastAsia" w:hAnsiTheme="minorEastAsia" w:eastAsiaTheme="minorEastAsia"/>
                <w:szCs w:val="21"/>
              </w:rPr>
            </w:pPr>
          </w:p>
        </w:tc>
        <w:tc>
          <w:tcPr>
            <w:tcW w:w="1786" w:type="dxa"/>
            <w:shd w:val="clear" w:color="auto" w:fill="auto"/>
          </w:tcPr>
          <w:p>
            <w:pPr>
              <w:spacing w:line="291" w:lineRule="exact"/>
              <w:rPr>
                <w:rFonts w:asciiTheme="minorEastAsia" w:hAnsiTheme="minorEastAsia" w:eastAsiaTheme="minorEastAsia"/>
                <w:szCs w:val="21"/>
              </w:rPr>
            </w:pPr>
            <w:r>
              <w:rPr>
                <w:rFonts w:cs="Calibri" w:asciiTheme="minorEastAsia" w:hAnsiTheme="minorEastAsia" w:eastAsiaTheme="minorEastAsia"/>
                <w:szCs w:val="21"/>
              </w:rPr>
              <w:t>0.05Hz,</w:t>
            </w:r>
            <w:r>
              <w:rPr>
                <w:rFonts w:cs="Arial" w:asciiTheme="minorEastAsia" w:hAnsiTheme="minorEastAsia" w:eastAsiaTheme="minorEastAsia"/>
                <w:szCs w:val="21"/>
              </w:rPr>
              <w:t>≤</w:t>
            </w:r>
            <w:r>
              <w:rPr>
                <w:rFonts w:cs="Calibri" w:asciiTheme="minorEastAsia" w:hAnsiTheme="minorEastAsia" w:eastAsiaTheme="minorEastAsia"/>
                <w:szCs w:val="21"/>
              </w:rPr>
              <w:t>2.2µF</w:t>
            </w:r>
          </w:p>
        </w:tc>
        <w:tc>
          <w:tcPr>
            <w:tcW w:w="1658" w:type="dxa"/>
            <w:vMerge w:val="continue"/>
            <w:shd w:val="clear" w:color="auto" w:fill="auto"/>
          </w:tcPr>
          <w:p>
            <w:pPr>
              <w:spacing w:line="291" w:lineRule="exact"/>
              <w:rPr>
                <w:rFonts w:asciiTheme="minorEastAsia" w:hAnsiTheme="minorEastAsia" w:eastAsiaTheme="minorEastAsia"/>
                <w:szCs w:val="21"/>
              </w:rPr>
            </w:pPr>
          </w:p>
        </w:tc>
        <w:tc>
          <w:tcPr>
            <w:tcW w:w="1683" w:type="dxa"/>
            <w:vMerge w:val="continue"/>
            <w:shd w:val="clear" w:color="auto" w:fill="auto"/>
          </w:tcPr>
          <w:p>
            <w:pPr>
              <w:spacing w:line="291" w:lineRule="exact"/>
              <w:rPr>
                <w:rFonts w:asciiTheme="minorEastAsia" w:hAnsiTheme="minorEastAsia" w:eastAsiaTheme="minor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706" w:type="dxa"/>
            <w:vMerge w:val="continue"/>
            <w:shd w:val="clear" w:color="auto" w:fill="auto"/>
          </w:tcPr>
          <w:p>
            <w:pPr>
              <w:spacing w:line="291" w:lineRule="exact"/>
              <w:rPr>
                <w:rFonts w:asciiTheme="minorEastAsia" w:hAnsiTheme="minorEastAsia" w:eastAsiaTheme="minorEastAsia"/>
                <w:szCs w:val="21"/>
              </w:rPr>
            </w:pPr>
          </w:p>
        </w:tc>
        <w:tc>
          <w:tcPr>
            <w:tcW w:w="1683" w:type="dxa"/>
            <w:vMerge w:val="continue"/>
            <w:shd w:val="clear" w:color="auto" w:fill="auto"/>
          </w:tcPr>
          <w:p>
            <w:pPr>
              <w:spacing w:line="291" w:lineRule="exact"/>
              <w:rPr>
                <w:rFonts w:asciiTheme="minorEastAsia" w:hAnsiTheme="minorEastAsia" w:eastAsiaTheme="minorEastAsia"/>
                <w:szCs w:val="21"/>
              </w:rPr>
            </w:pPr>
          </w:p>
        </w:tc>
        <w:tc>
          <w:tcPr>
            <w:tcW w:w="1786" w:type="dxa"/>
            <w:shd w:val="clear" w:color="auto" w:fill="auto"/>
          </w:tcPr>
          <w:p>
            <w:pPr>
              <w:spacing w:line="291" w:lineRule="exact"/>
              <w:rPr>
                <w:rFonts w:asciiTheme="minorEastAsia" w:hAnsiTheme="minorEastAsia" w:eastAsiaTheme="minorEastAsia"/>
                <w:szCs w:val="21"/>
              </w:rPr>
            </w:pPr>
            <w:r>
              <w:rPr>
                <w:rFonts w:cs="Calibri" w:asciiTheme="minorEastAsia" w:hAnsiTheme="minorEastAsia" w:eastAsiaTheme="minorEastAsia"/>
                <w:szCs w:val="21"/>
              </w:rPr>
              <w:t>0.02Hz,</w:t>
            </w:r>
            <w:r>
              <w:rPr>
                <w:rFonts w:cs="Arial" w:asciiTheme="minorEastAsia" w:hAnsiTheme="minorEastAsia" w:eastAsiaTheme="minorEastAsia"/>
                <w:szCs w:val="21"/>
              </w:rPr>
              <w:t>≤</w:t>
            </w:r>
            <w:r>
              <w:rPr>
                <w:rFonts w:cs="Calibri" w:asciiTheme="minorEastAsia" w:hAnsiTheme="minorEastAsia" w:eastAsiaTheme="minorEastAsia"/>
                <w:szCs w:val="21"/>
              </w:rPr>
              <w:t>5.5µF</w:t>
            </w:r>
          </w:p>
        </w:tc>
        <w:tc>
          <w:tcPr>
            <w:tcW w:w="1658" w:type="dxa"/>
            <w:vMerge w:val="continue"/>
            <w:shd w:val="clear" w:color="auto" w:fill="auto"/>
          </w:tcPr>
          <w:p>
            <w:pPr>
              <w:spacing w:line="291" w:lineRule="exact"/>
              <w:rPr>
                <w:rFonts w:asciiTheme="minorEastAsia" w:hAnsiTheme="minorEastAsia" w:eastAsiaTheme="minorEastAsia"/>
                <w:szCs w:val="21"/>
              </w:rPr>
            </w:pPr>
          </w:p>
        </w:tc>
        <w:tc>
          <w:tcPr>
            <w:tcW w:w="1683" w:type="dxa"/>
            <w:vMerge w:val="continue"/>
            <w:shd w:val="clear" w:color="auto" w:fill="auto"/>
          </w:tcPr>
          <w:p>
            <w:pPr>
              <w:spacing w:line="291" w:lineRule="exact"/>
              <w:rPr>
                <w:rFonts w:asciiTheme="minorEastAsia" w:hAnsiTheme="minorEastAsia" w:eastAsiaTheme="minorEastAsia"/>
                <w:szCs w:val="21"/>
              </w:rPr>
            </w:pPr>
          </w:p>
        </w:tc>
      </w:tr>
    </w:tbl>
    <w:p>
      <w:pPr>
        <w:spacing w:line="291" w:lineRule="exact"/>
        <w:ind w:left="720"/>
        <w:rPr>
          <w:rFonts w:asciiTheme="minorEastAsia" w:hAnsiTheme="minorEastAsia" w:eastAsiaTheme="minorEastAsia"/>
          <w:szCs w:val="21"/>
        </w:rPr>
      </w:pPr>
    </w:p>
    <w:p>
      <w:pPr>
        <w:spacing w:line="58" w:lineRule="exact"/>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11.根据被试对象选择适当规格的产品使用时，试品电容量不得超过仪器的额定电容量。试品电容量过小，会影响输出波形。若小于 0.05µF，仪器将不能正常输出，此时可并联 0.05 µF的电容器（由本公司提供）辅助输出。常用电气设备电容量的估算见表 4 和表 5</w:t>
      </w:r>
    </w:p>
    <w:p>
      <w:pPr>
        <w:spacing w:line="291" w:lineRule="exact"/>
        <w:ind w:left="1800"/>
        <w:rPr>
          <w:rFonts w:asciiTheme="minorEastAsia" w:hAnsiTheme="minorEastAsia" w:eastAsiaTheme="minorEastAsia"/>
          <w:szCs w:val="21"/>
        </w:rPr>
      </w:pPr>
      <w:r>
        <w:rPr>
          <w:rFonts w:asciiTheme="minorEastAsia" w:hAnsiTheme="minorEastAsia" w:eastAsiaTheme="minorEastAsia"/>
          <w:szCs w:val="21"/>
        </w:rPr>
        <w:t>表 4 不同类型发电机的单相对地电容量</w:t>
      </w:r>
    </w:p>
    <w:p>
      <w:pPr>
        <w:spacing w:line="291" w:lineRule="exact"/>
        <w:ind w:left="1800"/>
        <w:rPr>
          <w:rFonts w:asciiTheme="minorEastAsia" w:hAnsiTheme="minorEastAsia" w:eastAsiaTheme="minorEastAsia"/>
          <w:szCs w:val="21"/>
        </w:rPr>
      </w:pPr>
    </w:p>
    <w:p>
      <w:pPr>
        <w:spacing w:line="291" w:lineRule="exact"/>
        <w:ind w:left="1800"/>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72576" behindDoc="0" locked="0" layoutInCell="0" allowOverlap="1">
            <wp:simplePos x="0" y="0"/>
            <wp:positionH relativeFrom="margin">
              <wp:align>center</wp:align>
            </wp:positionH>
            <wp:positionV relativeFrom="page">
              <wp:posOffset>6433820</wp:posOffset>
            </wp:positionV>
            <wp:extent cx="5553075" cy="1209675"/>
            <wp:effectExtent l="0" t="0" r="9525" b="9525"/>
            <wp:wrapNone/>
            <wp:docPr id="15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Picture 11"/>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a:xfrm>
                      <a:off x="0" y="0"/>
                      <a:ext cx="5553075" cy="1209675"/>
                    </a:xfrm>
                    <a:prstGeom prst="rect">
                      <a:avLst/>
                    </a:prstGeom>
                    <a:noFill/>
                    <a:ln>
                      <a:noFill/>
                    </a:ln>
                  </pic:spPr>
                </pic:pic>
              </a:graphicData>
            </a:graphic>
          </wp:anchor>
        </w:drawing>
      </w:r>
    </w:p>
    <w:p>
      <w:pPr>
        <w:spacing w:line="291" w:lineRule="exact"/>
        <w:ind w:left="1800"/>
        <w:rPr>
          <w:rFonts w:asciiTheme="minorEastAsia" w:hAnsiTheme="minorEastAsia" w:eastAsiaTheme="minorEastAsia"/>
          <w:szCs w:val="21"/>
        </w:rPr>
      </w:pPr>
    </w:p>
    <w:p>
      <w:pPr>
        <w:spacing w:line="291" w:lineRule="exact"/>
        <w:ind w:left="1800"/>
        <w:rPr>
          <w:rFonts w:asciiTheme="minorEastAsia" w:hAnsiTheme="minorEastAsia" w:eastAsiaTheme="minorEastAsia"/>
          <w:szCs w:val="21"/>
        </w:rPr>
      </w:pPr>
    </w:p>
    <w:p>
      <w:pPr>
        <w:spacing w:line="360" w:lineRule="auto"/>
        <w:ind w:firstLine="420" w:firstLineChars="200"/>
        <w:jc w:val="center"/>
        <w:rPr>
          <w:rFonts w:asciiTheme="minorEastAsia" w:hAnsiTheme="minorEastAsia" w:eastAsiaTheme="minorEastAsia"/>
          <w:szCs w:val="21"/>
        </w:rPr>
      </w:pPr>
    </w:p>
    <w:p>
      <w:pPr>
        <w:spacing w:line="200" w:lineRule="exact"/>
        <w:rPr>
          <w:rFonts w:asciiTheme="minorEastAsia" w:hAnsiTheme="minorEastAsia" w:eastAsiaTheme="minorEastAsia"/>
          <w:szCs w:val="21"/>
        </w:rPr>
      </w:pPr>
      <w:bookmarkStart w:id="13" w:name="page7"/>
      <w:bookmarkEnd w:id="13"/>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91" w:lineRule="exact"/>
        <w:ind w:left="1800"/>
        <w:rPr>
          <w:rFonts w:asciiTheme="minorEastAsia" w:hAnsiTheme="minorEastAsia" w:eastAsiaTheme="minorEastAsia"/>
          <w:szCs w:val="21"/>
        </w:rPr>
      </w:pPr>
      <w:r>
        <w:rPr>
          <w:rFonts w:asciiTheme="minorEastAsia" w:hAnsiTheme="minorEastAsia" w:eastAsiaTheme="minorEastAsia"/>
          <w:szCs w:val="21"/>
        </w:rPr>
        <w:t>表 5 交联聚乙烯绝缘单芯电力电缆的电容量(µF/km)</w:t>
      </w:r>
    </w:p>
    <w:p>
      <w:pPr>
        <w:spacing w:line="291" w:lineRule="exact"/>
        <w:ind w:left="1800"/>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62336" behindDoc="0" locked="0" layoutInCell="0" allowOverlap="1">
            <wp:simplePos x="0" y="0"/>
            <wp:positionH relativeFrom="column">
              <wp:posOffset>-22860</wp:posOffset>
            </wp:positionH>
            <wp:positionV relativeFrom="paragraph">
              <wp:posOffset>127635</wp:posOffset>
            </wp:positionV>
            <wp:extent cx="5524500" cy="1087120"/>
            <wp:effectExtent l="0" t="0" r="0" b="0"/>
            <wp:wrapNone/>
            <wp:docPr id="15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Picture 1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a:xfrm>
                      <a:off x="0" y="0"/>
                      <a:ext cx="5524500" cy="1087120"/>
                    </a:xfrm>
                    <a:prstGeom prst="rect">
                      <a:avLst/>
                    </a:prstGeom>
                    <a:noFill/>
                    <a:ln>
                      <a:noFill/>
                    </a:ln>
                  </pic:spPr>
                </pic:pic>
              </a:graphicData>
            </a:graphic>
          </wp:anchor>
        </w:drawing>
      </w:r>
    </w:p>
    <w:p>
      <w:pPr>
        <w:spacing w:line="291" w:lineRule="exact"/>
        <w:ind w:left="1800"/>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widowControl/>
        <w:numPr>
          <w:ilvl w:val="0"/>
          <w:numId w:val="1"/>
        </w:numPr>
        <w:tabs>
          <w:tab w:val="left" w:pos="1380"/>
        </w:tabs>
        <w:spacing w:line="291" w:lineRule="exact"/>
        <w:ind w:left="1380" w:hanging="482"/>
        <w:jc w:val="left"/>
        <w:rPr>
          <w:rFonts w:asciiTheme="minorEastAsia" w:hAnsiTheme="minorEastAsia" w:eastAsiaTheme="minorEastAsia"/>
          <w:szCs w:val="21"/>
        </w:rPr>
      </w:pPr>
      <w:r>
        <w:rPr>
          <w:rFonts w:asciiTheme="minorEastAsia" w:hAnsiTheme="minorEastAsia" w:eastAsiaTheme="minorEastAsia"/>
          <w:szCs w:val="21"/>
        </w:rPr>
        <w:t>试品电流的估算方法：计算公式： Ｉ＝2πfCU</w:t>
      </w:r>
    </w:p>
    <w:p>
      <w:pPr>
        <w:pStyle w:val="2"/>
        <w:ind w:left="210" w:right="210"/>
        <w:rPr>
          <w:rFonts w:asciiTheme="minorEastAsia" w:hAnsiTheme="minorEastAsia" w:eastAsiaTheme="minorEastAsia"/>
          <w:szCs w:val="21"/>
        </w:rPr>
      </w:pPr>
      <w:bookmarkStart w:id="14" w:name="_Toc45803169"/>
      <w:r>
        <w:rPr>
          <w:rFonts w:asciiTheme="minorEastAsia" w:hAnsiTheme="minorEastAsia" w:eastAsiaTheme="minorEastAsia"/>
          <w:szCs w:val="21"/>
        </w:rPr>
        <w:t>四</w:t>
      </w:r>
      <w:r>
        <w:rPr>
          <w:rFonts w:hint="eastAsia" w:asciiTheme="minorEastAsia" w:hAnsiTheme="minorEastAsia" w:eastAsiaTheme="minorEastAsia"/>
          <w:szCs w:val="21"/>
        </w:rPr>
        <w:t>、</w:t>
      </w:r>
      <w:r>
        <w:rPr>
          <w:rFonts w:asciiTheme="minorEastAsia" w:hAnsiTheme="minorEastAsia" w:eastAsiaTheme="minorEastAsia"/>
          <w:szCs w:val="21"/>
        </w:rPr>
        <w:t>产品特点</w:t>
      </w:r>
      <w:bookmarkEnd w:id="14"/>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技术先进：采用数字变频技术，微电脑控制，升压、降压、测量、保护等测试过程全自动化。</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操作方便：接线简单，傻瓜式操作。</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保护全面：多重保护（过压保护、高低压侧过流保护），动作迅速（动作时间≤10ms）,仪器安全可靠。</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安全可靠：控制器和高压发生器低压连接，光电控制，使用安全可靠。</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采用了高低压闭环负反馈控制电路，输出无容升效应。</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配置齐全：</w:t>
      </w:r>
      <w:r>
        <w:rPr>
          <w:rFonts w:hint="eastAsia" w:asciiTheme="minorEastAsia" w:hAnsiTheme="minorEastAsia" w:eastAsiaTheme="minorEastAsia"/>
          <w:szCs w:val="21"/>
        </w:rPr>
        <w:t>8寸</w:t>
      </w:r>
      <w:r>
        <w:rPr>
          <w:rFonts w:asciiTheme="minorEastAsia" w:hAnsiTheme="minorEastAsia" w:eastAsiaTheme="minorEastAsia"/>
          <w:szCs w:val="21"/>
        </w:rPr>
        <w:t>电容触摸屏，液晶汉字显示，</w:t>
      </w:r>
      <w:r>
        <w:rPr>
          <w:rFonts w:hint="eastAsia" w:asciiTheme="minorEastAsia" w:hAnsiTheme="minorEastAsia" w:eastAsiaTheme="minorEastAsia"/>
          <w:szCs w:val="21"/>
        </w:rPr>
        <w:t>手动</w:t>
      </w:r>
      <w:r>
        <w:rPr>
          <w:rFonts w:asciiTheme="minorEastAsia" w:hAnsiTheme="minorEastAsia" w:eastAsiaTheme="minorEastAsia"/>
          <w:szCs w:val="21"/>
        </w:rPr>
        <w:t>存储，</w:t>
      </w:r>
      <w:r>
        <w:rPr>
          <w:rFonts w:hint="eastAsia" w:asciiTheme="minorEastAsia" w:hAnsiTheme="minorEastAsia" w:eastAsiaTheme="minorEastAsia"/>
          <w:szCs w:val="21"/>
        </w:rPr>
        <w:t>手</w:t>
      </w:r>
      <w:r>
        <w:rPr>
          <w:rFonts w:asciiTheme="minorEastAsia" w:hAnsiTheme="minorEastAsia" w:eastAsiaTheme="minorEastAsia"/>
          <w:szCs w:val="21"/>
        </w:rPr>
        <w:t>动打印。</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☆测试范围大：0.1Hz、0.05Hz 及 0.02Hz 多频率选择，测试范围大。</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体积小、重量轻：十分利于户外作业。</w:t>
      </w:r>
    </w:p>
    <w:p>
      <w:pPr>
        <w:pStyle w:val="2"/>
        <w:ind w:left="210" w:right="210"/>
        <w:rPr>
          <w:rFonts w:asciiTheme="minorEastAsia" w:hAnsiTheme="minorEastAsia" w:eastAsiaTheme="minorEastAsia"/>
          <w:szCs w:val="21"/>
        </w:rPr>
      </w:pPr>
      <w:bookmarkStart w:id="15" w:name="_Toc45803170"/>
      <w:r>
        <w:rPr>
          <w:rFonts w:asciiTheme="minorEastAsia" w:hAnsiTheme="minorEastAsia" w:eastAsiaTheme="minorEastAsia"/>
          <w:szCs w:val="21"/>
        </w:rPr>
        <w:t>五</w:t>
      </w:r>
      <w:r>
        <w:rPr>
          <w:rFonts w:hint="eastAsia" w:asciiTheme="minorEastAsia" w:hAnsiTheme="minorEastAsia" w:eastAsiaTheme="minorEastAsia"/>
          <w:szCs w:val="21"/>
        </w:rPr>
        <w:t>、</w:t>
      </w:r>
      <w:r>
        <w:rPr>
          <w:rFonts w:asciiTheme="minorEastAsia" w:hAnsiTheme="minorEastAsia" w:eastAsiaTheme="minorEastAsia"/>
          <w:szCs w:val="21"/>
        </w:rPr>
        <w:t>仪器结构功能说明</w:t>
      </w:r>
      <w:bookmarkEnd w:id="15"/>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本仪器由两个部分组成：即控制器和升压器，两部分结构和功能如下：</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控制器面板各部件布置如图 1 所示，各部件功能说明如下：</w:t>
      </w:r>
      <w:bookmarkStart w:id="16" w:name="page8"/>
      <w:bookmarkEnd w:id="16"/>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73600" behindDoc="0" locked="0" layoutInCell="1" allowOverlap="1">
            <wp:simplePos x="0" y="0"/>
            <wp:positionH relativeFrom="column">
              <wp:posOffset>276225</wp:posOffset>
            </wp:positionH>
            <wp:positionV relativeFrom="paragraph">
              <wp:posOffset>248920</wp:posOffset>
            </wp:positionV>
            <wp:extent cx="4724400" cy="3192145"/>
            <wp:effectExtent l="0" t="0" r="0" b="8255"/>
            <wp:wrapTopAndBottom/>
            <wp:docPr id="156" name="图片 18" descr="超低频主机图片副本"/>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8" descr="超低频主机图片副本"/>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a:xfrm>
                      <a:off x="0" y="0"/>
                      <a:ext cx="4724400" cy="3192145"/>
                    </a:xfrm>
                    <a:prstGeom prst="rect">
                      <a:avLst/>
                    </a:prstGeom>
                    <a:noFill/>
                    <a:ln>
                      <a:noFill/>
                    </a:ln>
                  </pic:spPr>
                </pic:pic>
              </a:graphicData>
            </a:graphic>
          </wp:anchor>
        </w:drawing>
      </w:r>
    </w:p>
    <w:p>
      <w:pPr>
        <w:spacing w:line="360" w:lineRule="auto"/>
        <w:ind w:firstLine="420" w:firstLineChars="200"/>
        <w:rPr>
          <w:rFonts w:asciiTheme="minorEastAsia" w:hAnsiTheme="minorEastAsia" w:eastAsiaTheme="minorEastAsia"/>
          <w:szCs w:val="21"/>
        </w:rPr>
      </w:pPr>
    </w:p>
    <w:p>
      <w:pPr>
        <w:spacing w:line="291" w:lineRule="exact"/>
        <w:jc w:val="center"/>
        <w:rPr>
          <w:rFonts w:cs="宋体" w:asciiTheme="minorEastAsia" w:hAnsiTheme="minorEastAsia" w:eastAsiaTheme="minorEastAsia"/>
          <w:szCs w:val="21"/>
        </w:rPr>
      </w:pPr>
      <w:r>
        <w:rPr>
          <w:rFonts w:hint="eastAsia" w:cs="宋体" w:asciiTheme="minorEastAsia" w:hAnsiTheme="minorEastAsia" w:eastAsiaTheme="minorEastAsia"/>
          <w:szCs w:val="21"/>
        </w:rPr>
        <w:t>图</w:t>
      </w:r>
      <w:r>
        <w:rPr>
          <w:rFonts w:cs="宋体" w:asciiTheme="minorEastAsia" w:hAnsiTheme="minorEastAsia" w:eastAsiaTheme="minorEastAsia"/>
          <w:szCs w:val="21"/>
        </w:rPr>
        <w:t>1 控制器面板示意图</w:t>
      </w:r>
    </w:p>
    <w:p>
      <w:pPr>
        <w:spacing w:line="294" w:lineRule="exact"/>
        <w:rPr>
          <w:rFonts w:cs="宋体" w:asciiTheme="minorEastAsia" w:hAnsiTheme="minorEastAsia" w:eastAsiaTheme="minorEastAsia"/>
          <w:szCs w:val="21"/>
        </w:rPr>
      </w:pPr>
    </w:p>
    <w:p>
      <w:pPr>
        <w:spacing w:line="291" w:lineRule="exact"/>
        <w:ind w:left="540"/>
        <w:rPr>
          <w:rFonts w:cs="宋体" w:asciiTheme="minorEastAsia" w:hAnsiTheme="minorEastAsia" w:eastAsiaTheme="minorEastAsia"/>
          <w:szCs w:val="21"/>
        </w:rPr>
      </w:pPr>
      <w:r>
        <w:rPr>
          <w:rFonts w:cs="Arial" w:asciiTheme="minorEastAsia" w:hAnsiTheme="minorEastAsia" w:eastAsiaTheme="minorEastAsia"/>
          <w:szCs w:val="21"/>
        </w:rPr>
        <w:t>“</w:t>
      </w:r>
      <w:r>
        <w:rPr>
          <w:rFonts w:cs="宋体" w:asciiTheme="minorEastAsia" w:hAnsiTheme="minorEastAsia" w:eastAsiaTheme="minorEastAsia"/>
          <w:szCs w:val="21"/>
        </w:rPr>
        <w:drawing>
          <wp:inline distT="0" distB="0" distL="0" distR="0">
            <wp:extent cx="95250" cy="66675"/>
            <wp:effectExtent l="0" t="0" r="0" b="9525"/>
            <wp:docPr id="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95250" cy="66675"/>
                    </a:xfrm>
                    <a:prstGeom prst="rect">
                      <a:avLst/>
                    </a:prstGeom>
                    <a:noFill/>
                    <a:ln>
                      <a:noFill/>
                    </a:ln>
                  </pic:spPr>
                </pic:pic>
              </a:graphicData>
            </a:graphic>
          </wp:inline>
        </w:drawing>
      </w:r>
      <w:r>
        <w:rPr>
          <w:rFonts w:cs="Arial" w:asciiTheme="minorEastAsia" w:hAnsiTheme="minorEastAsia" w:eastAsiaTheme="minorEastAsia"/>
          <w:szCs w:val="21"/>
        </w:rPr>
        <w:t xml:space="preserve"> ”  </w:t>
      </w:r>
      <w:r>
        <w:rPr>
          <w:rFonts w:cs="宋体" w:asciiTheme="minorEastAsia" w:hAnsiTheme="minorEastAsia" w:eastAsiaTheme="minorEastAsia"/>
          <w:szCs w:val="21"/>
        </w:rPr>
        <w:t>－接地端子：使用时与大地相连。</w:t>
      </w:r>
    </w:p>
    <w:p>
      <w:pPr>
        <w:spacing w:line="20" w:lineRule="exact"/>
        <w:rPr>
          <w:rFonts w:asciiTheme="minorEastAsia" w:hAnsiTheme="minorEastAsia" w:eastAsiaTheme="minorEastAsia"/>
          <w:szCs w:val="21"/>
        </w:rPr>
      </w:pPr>
      <w:r>
        <w:rPr>
          <w:rFonts w:asciiTheme="minorEastAsia" w:hAnsiTheme="minorEastAsia" w:eastAsiaTheme="minorEastAsia"/>
          <w:szCs w:val="21"/>
        </w:rPr>
        <mc:AlternateContent>
          <mc:Choice Requires="wps">
            <w:drawing>
              <wp:anchor distT="0" distB="0" distL="114300" distR="114300" simplePos="0" relativeHeight="251670528" behindDoc="1" locked="0" layoutInCell="0" allowOverlap="1">
                <wp:simplePos x="0" y="0"/>
                <wp:positionH relativeFrom="column">
                  <wp:posOffset>557530</wp:posOffset>
                </wp:positionH>
                <wp:positionV relativeFrom="paragraph">
                  <wp:posOffset>-208915</wp:posOffset>
                </wp:positionV>
                <wp:extent cx="0" cy="95250"/>
                <wp:effectExtent l="4445" t="0" r="14605" b="0"/>
                <wp:wrapNone/>
                <wp:docPr id="23" name="Shape 15"/>
                <wp:cNvGraphicFramePr/>
                <a:graphic xmlns:a="http://schemas.openxmlformats.org/drawingml/2006/main">
                  <a:graphicData uri="http://schemas.microsoft.com/office/word/2010/wordprocessingShape">
                    <wps:wsp>
                      <wps:cNvCnPr/>
                      <wps:spPr>
                        <a:xfrm>
                          <a:off x="0" y="0"/>
                          <a:ext cx="0" cy="95250"/>
                        </a:xfrm>
                        <a:prstGeom prst="line">
                          <a:avLst/>
                        </a:prstGeom>
                        <a:solidFill>
                          <a:srgbClr val="FFFFFF"/>
                        </a:solidFill>
                        <a:ln w="3047">
                          <a:solidFill>
                            <a:srgbClr val="25221E"/>
                          </a:solidFill>
                          <a:miter lim="800000"/>
                        </a:ln>
                        <a:effectLst/>
                      </wps:spPr>
                      <wps:bodyPr/>
                    </wps:wsp>
                  </a:graphicData>
                </a:graphic>
              </wp:anchor>
            </w:drawing>
          </mc:Choice>
          <mc:Fallback>
            <w:pict>
              <v:line id="Shape 15" o:spid="_x0000_s1026" o:spt="20" style="position:absolute;left:0pt;margin-left:43.9pt;margin-top:-16.45pt;height:7.5pt;width:0pt;z-index:-251645952;mso-width-relative:page;mso-height-relative:page;" fillcolor="#FFFFFF" filled="t" stroked="t" coordsize="21600,21600" o:allowincell="f" o:gfxdata="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gfxnx9cAAAAJAQAADwAAAAAAAAABACAAAAAiAAAAZHJzL2Rvd25yZXYueG1sUEsBAhQA&#10;FAAAAAgAh07iQCQCTDW6AQAApAMAAA4AAAAAAAAAAQAgAAAAJgEAAGRycy9lMm9Eb2MueG1sUEsF&#10;BgAAAAAGAAYAWQEAAFIFAAAAAA==&#10;">
                <v:fill on="t" focussize="0,0"/>
                <v:stroke weight="0.23992125984252pt" color="#25221E" miterlimit="8" joinstyle="miter"/>
                <v:imagedata o:title=""/>
                <o:lock v:ext="edit" aspectratio="f"/>
              </v:line>
            </w:pict>
          </mc:Fallback>
        </mc:AlternateContent>
      </w:r>
    </w:p>
    <w:p>
      <w:pPr>
        <w:spacing w:line="411" w:lineRule="exact"/>
        <w:ind w:left="540" w:right="500"/>
        <w:rPr>
          <w:rFonts w:asciiTheme="minorEastAsia" w:hAnsiTheme="minorEastAsia" w:eastAsiaTheme="minorEastAsia"/>
          <w:szCs w:val="21"/>
        </w:rPr>
      </w:pPr>
      <w:r>
        <w:rPr>
          <w:rFonts w:cs="Arial" w:asciiTheme="minorEastAsia" w:hAnsiTheme="minorEastAsia" w:eastAsiaTheme="minorEastAsia"/>
          <w:szCs w:val="21"/>
        </w:rPr>
        <w:t>“</w:t>
      </w:r>
      <w:r>
        <w:rPr>
          <w:rFonts w:cs="宋体" w:asciiTheme="minorEastAsia" w:hAnsiTheme="minorEastAsia" w:eastAsiaTheme="minorEastAsia"/>
          <w:szCs w:val="21"/>
        </w:rPr>
        <w:t>开关</w:t>
      </w:r>
      <w:r>
        <w:rPr>
          <w:rFonts w:cs="Arial" w:asciiTheme="minorEastAsia" w:hAnsiTheme="minorEastAsia" w:eastAsiaTheme="minorEastAsia"/>
          <w:szCs w:val="21"/>
        </w:rPr>
        <w:t xml:space="preserve">” </w:t>
      </w:r>
      <w:r>
        <w:rPr>
          <w:rFonts w:hint="eastAsia" w:cs="宋体" w:asciiTheme="minorEastAsia" w:hAnsiTheme="minorEastAsia" w:eastAsiaTheme="minorEastAsia"/>
          <w:szCs w:val="21"/>
        </w:rPr>
        <w:t>-</w:t>
      </w:r>
      <w:r>
        <w:rPr>
          <w:rFonts w:cs="宋体" w:asciiTheme="minorEastAsia" w:hAnsiTheme="minorEastAsia" w:eastAsiaTheme="minorEastAsia"/>
          <w:szCs w:val="21"/>
        </w:rPr>
        <w:t>-电源开关：内置指示灯，开时亮，关时熄</w:t>
      </w:r>
      <w:r>
        <w:rPr>
          <w:rFonts w:cs="Arial" w:asciiTheme="minorEastAsia" w:hAnsiTheme="minorEastAsia" w:eastAsiaTheme="minorEastAsia"/>
          <w:szCs w:val="21"/>
        </w:rPr>
        <w:t>“AC220V”</w:t>
      </w:r>
      <w:r>
        <w:rPr>
          <w:rFonts w:cs="宋体" w:asciiTheme="minorEastAsia" w:hAnsiTheme="minorEastAsia" w:eastAsiaTheme="minorEastAsia"/>
          <w:szCs w:val="21"/>
        </w:rPr>
        <w:t>－电源输入插座，内置保险管。</w:t>
      </w:r>
    </w:p>
    <w:p>
      <w:pPr>
        <w:spacing w:line="176" w:lineRule="exact"/>
        <w:rPr>
          <w:rFonts w:asciiTheme="minorEastAsia" w:hAnsiTheme="minorEastAsia" w:eastAsiaTheme="minorEastAsia"/>
          <w:szCs w:val="21"/>
        </w:rPr>
      </w:pPr>
    </w:p>
    <w:p>
      <w:pPr>
        <w:spacing w:line="291" w:lineRule="exact"/>
        <w:ind w:left="540"/>
        <w:rPr>
          <w:rFonts w:asciiTheme="minorEastAsia" w:hAnsiTheme="minorEastAsia" w:eastAsiaTheme="minorEastAsia"/>
          <w:szCs w:val="21"/>
        </w:rPr>
      </w:pPr>
      <w:r>
        <w:rPr>
          <w:rFonts w:cs="Arial" w:asciiTheme="minorEastAsia" w:hAnsiTheme="minorEastAsia" w:eastAsiaTheme="minorEastAsia"/>
          <w:szCs w:val="21"/>
        </w:rPr>
        <w:t>“</w:t>
      </w:r>
      <w:r>
        <w:rPr>
          <w:rFonts w:cs="宋体" w:asciiTheme="minorEastAsia" w:hAnsiTheme="minorEastAsia" w:eastAsiaTheme="minorEastAsia"/>
          <w:szCs w:val="21"/>
        </w:rPr>
        <w:t>打印机</w:t>
      </w:r>
      <w:r>
        <w:rPr>
          <w:rFonts w:cs="Arial" w:asciiTheme="minorEastAsia" w:hAnsiTheme="minorEastAsia" w:eastAsiaTheme="minorEastAsia"/>
          <w:szCs w:val="21"/>
        </w:rPr>
        <w:t>”</w:t>
      </w:r>
      <w:r>
        <w:rPr>
          <w:rFonts w:hint="eastAsia" w:cs="宋体" w:asciiTheme="minorEastAsia" w:hAnsiTheme="minorEastAsia" w:eastAsiaTheme="minorEastAsia"/>
          <w:szCs w:val="21"/>
        </w:rPr>
        <w:t>-</w:t>
      </w:r>
      <w:r>
        <w:rPr>
          <w:rFonts w:cs="宋体" w:asciiTheme="minorEastAsia" w:hAnsiTheme="minorEastAsia" w:eastAsiaTheme="minorEastAsia"/>
          <w:szCs w:val="21"/>
        </w:rPr>
        <w:t>-打印测试报告。</w:t>
      </w:r>
    </w:p>
    <w:p>
      <w:pPr>
        <w:spacing w:line="180" w:lineRule="exact"/>
        <w:rPr>
          <w:rFonts w:asciiTheme="minorEastAsia" w:hAnsiTheme="minorEastAsia" w:eastAsiaTheme="minorEastAsia"/>
          <w:szCs w:val="21"/>
        </w:rPr>
      </w:pPr>
    </w:p>
    <w:p>
      <w:pPr>
        <w:spacing w:line="291" w:lineRule="exact"/>
        <w:ind w:left="540"/>
        <w:rPr>
          <w:rFonts w:cs="宋体" w:asciiTheme="minorEastAsia" w:hAnsiTheme="minorEastAsia" w:eastAsiaTheme="minorEastAsia"/>
          <w:szCs w:val="21"/>
        </w:rPr>
      </w:pPr>
      <w:r>
        <w:rPr>
          <w:rFonts w:cs="Arial" w:asciiTheme="minorEastAsia" w:hAnsiTheme="minorEastAsia" w:eastAsiaTheme="minorEastAsia"/>
          <w:szCs w:val="21"/>
        </w:rPr>
        <w:t>“</w:t>
      </w:r>
      <w:r>
        <w:rPr>
          <w:rFonts w:cs="宋体" w:asciiTheme="minorEastAsia" w:hAnsiTheme="minorEastAsia" w:eastAsiaTheme="minorEastAsia"/>
          <w:szCs w:val="21"/>
        </w:rPr>
        <w:t>电容触摸显示屏</w:t>
      </w:r>
      <w:r>
        <w:rPr>
          <w:rFonts w:cs="Arial" w:asciiTheme="minorEastAsia" w:hAnsiTheme="minorEastAsia" w:eastAsiaTheme="minorEastAsia"/>
          <w:szCs w:val="21"/>
        </w:rPr>
        <w:t>”</w:t>
      </w:r>
      <w:r>
        <w:rPr>
          <w:rFonts w:hint="eastAsia" w:cs="宋体" w:asciiTheme="minorEastAsia" w:hAnsiTheme="minorEastAsia" w:eastAsiaTheme="minorEastAsia"/>
          <w:szCs w:val="21"/>
        </w:rPr>
        <w:t>-</w:t>
      </w:r>
      <w:r>
        <w:rPr>
          <w:rFonts w:cs="宋体" w:asciiTheme="minorEastAsia" w:hAnsiTheme="minorEastAsia" w:eastAsiaTheme="minorEastAsia"/>
          <w:szCs w:val="21"/>
        </w:rPr>
        <w:t>-</w:t>
      </w:r>
      <w:r>
        <w:rPr>
          <w:rFonts w:hint="eastAsia" w:cs="宋体" w:asciiTheme="minorEastAsia" w:hAnsiTheme="minorEastAsia" w:eastAsiaTheme="minorEastAsia"/>
          <w:szCs w:val="21"/>
        </w:rPr>
        <w:t xml:space="preserve">8寸显示屏 </w:t>
      </w:r>
      <w:r>
        <w:rPr>
          <w:rFonts w:cs="宋体" w:asciiTheme="minorEastAsia" w:hAnsiTheme="minorEastAsia" w:eastAsiaTheme="minorEastAsia"/>
          <w:szCs w:val="21"/>
        </w:rPr>
        <w:t>显示测试数据以及输出波形，并可以直接在屏幕上</w:t>
      </w:r>
    </w:p>
    <w:p>
      <w:pPr>
        <w:spacing w:line="291" w:lineRule="exact"/>
        <w:ind w:left="540"/>
        <w:rPr>
          <w:rFonts w:cs="宋体" w:asciiTheme="minorEastAsia" w:hAnsiTheme="minorEastAsia" w:eastAsiaTheme="minorEastAsia"/>
          <w:szCs w:val="21"/>
        </w:rPr>
      </w:pPr>
    </w:p>
    <w:p>
      <w:pPr>
        <w:spacing w:line="291" w:lineRule="exact"/>
        <w:ind w:left="540"/>
        <w:rPr>
          <w:rFonts w:asciiTheme="minorEastAsia" w:hAnsiTheme="minorEastAsia" w:eastAsiaTheme="minorEastAsia"/>
          <w:szCs w:val="21"/>
        </w:rPr>
      </w:pPr>
      <w:r>
        <w:rPr>
          <w:rFonts w:cs="宋体" w:asciiTheme="minorEastAsia" w:hAnsiTheme="minorEastAsia" w:eastAsiaTheme="minorEastAsia"/>
          <w:szCs w:val="21"/>
        </w:rPr>
        <w:t>用手操作。</w:t>
      </w:r>
    </w:p>
    <w:p>
      <w:pPr>
        <w:spacing w:line="274" w:lineRule="exact"/>
        <w:ind w:left="540"/>
        <w:rPr>
          <w:rFonts w:cs="宋体" w:asciiTheme="minorEastAsia" w:hAnsiTheme="minorEastAsia" w:eastAsiaTheme="minorEastAsia"/>
          <w:szCs w:val="21"/>
        </w:rPr>
      </w:pPr>
    </w:p>
    <w:p>
      <w:pPr>
        <w:spacing w:line="274" w:lineRule="exact"/>
        <w:ind w:left="540"/>
        <w:rPr>
          <w:rFonts w:cs="宋体" w:asciiTheme="minorEastAsia" w:hAnsiTheme="minorEastAsia" w:eastAsiaTheme="minorEastAsia"/>
          <w:szCs w:val="21"/>
        </w:rPr>
      </w:pPr>
      <w:r>
        <w:rPr>
          <w:rFonts w:hint="eastAsia" w:cs="宋体" w:asciiTheme="minorEastAsia" w:hAnsiTheme="minorEastAsia" w:eastAsiaTheme="minorEastAsia"/>
          <w:szCs w:val="21"/>
        </w:rPr>
        <w:t>“输出Ⅰ”-</w:t>
      </w:r>
      <w:r>
        <w:rPr>
          <w:rFonts w:cs="宋体" w:asciiTheme="minorEastAsia" w:hAnsiTheme="minorEastAsia" w:eastAsiaTheme="minorEastAsia"/>
          <w:szCs w:val="21"/>
        </w:rPr>
        <w:t>-</w:t>
      </w:r>
      <w:r>
        <w:rPr>
          <w:rFonts w:hint="eastAsia" w:cs="宋体" w:asciiTheme="minorEastAsia" w:hAnsiTheme="minorEastAsia" w:eastAsiaTheme="minorEastAsia"/>
          <w:szCs w:val="21"/>
        </w:rPr>
        <w:t>联接30KV升压器。</w:t>
      </w:r>
    </w:p>
    <w:p>
      <w:pPr>
        <w:spacing w:line="274" w:lineRule="exact"/>
        <w:ind w:left="540"/>
        <w:rPr>
          <w:rFonts w:cs="宋体" w:asciiTheme="minorEastAsia" w:hAnsiTheme="minorEastAsia" w:eastAsiaTheme="minorEastAsia"/>
          <w:szCs w:val="21"/>
        </w:rPr>
      </w:pPr>
    </w:p>
    <w:p>
      <w:pPr>
        <w:spacing w:line="274" w:lineRule="exact"/>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“输出Ⅱ”-</w:t>
      </w:r>
      <w:r>
        <w:rPr>
          <w:rFonts w:cs="宋体" w:asciiTheme="minorEastAsia" w:hAnsiTheme="minorEastAsia" w:eastAsiaTheme="minorEastAsia"/>
          <w:szCs w:val="21"/>
        </w:rPr>
        <w:t>-</w:t>
      </w:r>
      <w:r>
        <w:rPr>
          <w:rFonts w:hint="eastAsia" w:cs="宋体" w:asciiTheme="minorEastAsia" w:hAnsiTheme="minorEastAsia" w:eastAsiaTheme="minorEastAsia"/>
          <w:szCs w:val="21"/>
        </w:rPr>
        <w:t>联接50KV升压器。</w:t>
      </w:r>
    </w:p>
    <w:p>
      <w:pPr>
        <w:spacing w:line="274" w:lineRule="exact"/>
        <w:ind w:firstLine="420" w:firstLineChars="200"/>
        <w:rPr>
          <w:rFonts w:cs="宋体" w:asciiTheme="minorEastAsia" w:hAnsiTheme="minorEastAsia" w:eastAsiaTheme="minorEastAsia"/>
          <w:szCs w:val="21"/>
        </w:rPr>
      </w:pPr>
    </w:p>
    <w:p>
      <w:pPr>
        <w:spacing w:line="291" w:lineRule="exact"/>
        <w:ind w:left="540"/>
        <w:rPr>
          <w:rFonts w:asciiTheme="minorEastAsia" w:hAnsiTheme="minorEastAsia" w:eastAsiaTheme="minorEastAsia"/>
          <w:szCs w:val="21"/>
        </w:rPr>
      </w:pPr>
      <w:r>
        <w:rPr>
          <w:rFonts w:cs="Arial" w:asciiTheme="minorEastAsia" w:hAnsiTheme="minorEastAsia" w:eastAsiaTheme="minorEastAsia"/>
          <w:szCs w:val="21"/>
        </w:rPr>
        <w:t>“</w:t>
      </w:r>
      <w:r>
        <w:rPr>
          <w:rFonts w:hint="eastAsia" w:cs="Arial" w:asciiTheme="minorEastAsia" w:hAnsiTheme="minorEastAsia" w:eastAsiaTheme="minorEastAsia"/>
          <w:szCs w:val="21"/>
        </w:rPr>
        <w:t>RS232</w:t>
      </w:r>
      <w:r>
        <w:rPr>
          <w:rFonts w:cs="Arial" w:asciiTheme="minorEastAsia" w:hAnsiTheme="minorEastAsia" w:eastAsiaTheme="minorEastAsia"/>
          <w:szCs w:val="21"/>
        </w:rPr>
        <w:t>”--</w:t>
      </w:r>
      <w:r>
        <w:rPr>
          <w:rFonts w:cs="宋体" w:asciiTheme="minorEastAsia" w:hAnsiTheme="minorEastAsia" w:eastAsiaTheme="minorEastAsia"/>
          <w:szCs w:val="21"/>
        </w:rPr>
        <w:t>其功能用于与上位机通信连接。</w:t>
      </w:r>
    </w:p>
    <w:p>
      <w:pPr>
        <w:spacing w:line="175" w:lineRule="exact"/>
        <w:rPr>
          <w:rFonts w:asciiTheme="minorEastAsia" w:hAnsiTheme="minorEastAsia" w:eastAsiaTheme="minorEastAsia"/>
          <w:szCs w:val="21"/>
        </w:rPr>
      </w:pP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升压器结构示意图</w:t>
      </w:r>
    </w:p>
    <w:p>
      <w:pPr>
        <w:spacing w:line="360" w:lineRule="auto"/>
        <w:rPr>
          <w:rFonts w:asciiTheme="minorEastAsia" w:hAnsiTheme="minorEastAsia" w:eastAsiaTheme="minorEastAsia"/>
          <w:szCs w:val="21"/>
        </w:rPr>
      </w:pPr>
    </w:p>
    <w:p>
      <w:pPr>
        <w:spacing w:line="360" w:lineRule="auto"/>
        <w:rPr>
          <w:rFonts w:asciiTheme="minorEastAsia" w:hAnsiTheme="minorEastAsia" w:eastAsiaTheme="minorEastAsia"/>
          <w:szCs w:val="21"/>
        </w:rPr>
      </w:pPr>
    </w:p>
    <w:p>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drawing>
          <wp:inline distT="0" distB="0" distL="0" distR="0">
            <wp:extent cx="3781425" cy="2447925"/>
            <wp:effectExtent l="0" t="0" r="9525" b="952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a:xfrm>
                      <a:off x="0" y="0"/>
                      <a:ext cx="3781425" cy="2447925"/>
                    </a:xfrm>
                    <a:prstGeom prst="rect">
                      <a:avLst/>
                    </a:prstGeom>
                    <a:noFill/>
                    <a:ln>
                      <a:noFill/>
                    </a:ln>
                  </pic:spPr>
                </pic:pic>
              </a:graphicData>
            </a:graphic>
          </wp:inline>
        </w:drawing>
      </w:r>
    </w:p>
    <w:p>
      <w:pPr>
        <w:jc w:val="center"/>
        <w:rPr>
          <w:rFonts w:asciiTheme="minorEastAsia" w:hAnsiTheme="minorEastAsia" w:eastAsiaTheme="minorEastAsia"/>
          <w:szCs w:val="21"/>
        </w:rPr>
      </w:pPr>
    </w:p>
    <w:p>
      <w:pPr>
        <w:spacing w:line="291" w:lineRule="exact"/>
        <w:jc w:val="center"/>
        <w:rPr>
          <w:rFonts w:cs="宋体" w:asciiTheme="minorEastAsia" w:hAnsiTheme="minorEastAsia" w:eastAsiaTheme="minorEastAsia"/>
          <w:szCs w:val="21"/>
        </w:rPr>
      </w:pPr>
    </w:p>
    <w:p>
      <w:pPr>
        <w:spacing w:line="291" w:lineRule="exact"/>
        <w:jc w:val="center"/>
        <w:rPr>
          <w:rFonts w:cs="宋体" w:asciiTheme="minorEastAsia" w:hAnsiTheme="minorEastAsia" w:eastAsiaTheme="minorEastAsia"/>
          <w:szCs w:val="21"/>
        </w:rPr>
      </w:pPr>
    </w:p>
    <w:p>
      <w:pPr>
        <w:spacing w:line="291" w:lineRule="exact"/>
        <w:jc w:val="center"/>
        <w:rPr>
          <w:rFonts w:cs="宋体" w:asciiTheme="minorEastAsia" w:hAnsiTheme="minorEastAsia" w:eastAsiaTheme="minorEastAsia"/>
          <w:szCs w:val="21"/>
        </w:rPr>
      </w:pPr>
    </w:p>
    <w:p>
      <w:pPr>
        <w:spacing w:line="291" w:lineRule="exact"/>
        <w:jc w:val="center"/>
        <w:rPr>
          <w:rFonts w:asciiTheme="minorEastAsia" w:hAnsiTheme="minorEastAsia" w:eastAsiaTheme="minorEastAsia"/>
          <w:szCs w:val="21"/>
        </w:rPr>
      </w:pPr>
      <w:r>
        <w:rPr>
          <w:rFonts w:cs="宋体" w:asciiTheme="minorEastAsia" w:hAnsiTheme="minorEastAsia" w:eastAsiaTheme="minorEastAsia"/>
          <w:szCs w:val="21"/>
        </w:rPr>
        <w:t>图</w:t>
      </w:r>
      <w:r>
        <w:rPr>
          <w:rFonts w:hint="eastAsia" w:cs="Arial" w:asciiTheme="minorEastAsia" w:hAnsiTheme="minorEastAsia" w:eastAsiaTheme="minorEastAsia"/>
          <w:szCs w:val="21"/>
        </w:rPr>
        <w:t>2</w:t>
      </w:r>
      <w:r>
        <w:rPr>
          <w:rFonts w:cs="宋体" w:asciiTheme="minorEastAsia" w:hAnsiTheme="minorEastAsia" w:eastAsiaTheme="minorEastAsia"/>
          <w:szCs w:val="21"/>
        </w:rPr>
        <w:t>升压器结构示意图</w:t>
      </w:r>
    </w:p>
    <w:p>
      <w:pPr>
        <w:spacing w:line="243" w:lineRule="exact"/>
        <w:rPr>
          <w:rFonts w:asciiTheme="minorEastAsia" w:hAnsiTheme="minorEastAsia" w:eastAsiaTheme="minorEastAsia"/>
          <w:szCs w:val="21"/>
        </w:rPr>
      </w:pPr>
    </w:p>
    <w:p>
      <w:pPr>
        <w:pStyle w:val="2"/>
        <w:ind w:left="210" w:right="210"/>
        <w:rPr>
          <w:rFonts w:asciiTheme="minorEastAsia" w:hAnsiTheme="minorEastAsia" w:eastAsiaTheme="minorEastAsia"/>
          <w:szCs w:val="21"/>
        </w:rPr>
      </w:pPr>
      <w:r>
        <w:rPr>
          <w:rFonts w:asciiTheme="minorEastAsia" w:hAnsiTheme="minorEastAsia" w:eastAsiaTheme="minorEastAsia"/>
          <w:szCs w:val="21"/>
        </w:rPr>
        <w:br w:type="page"/>
      </w:r>
      <w:bookmarkStart w:id="17" w:name="_Toc45803171"/>
      <w:r>
        <w:rPr>
          <w:rFonts w:hint="eastAsia" w:asciiTheme="minorEastAsia" w:hAnsiTheme="minorEastAsia" w:eastAsiaTheme="minorEastAsia"/>
          <w:szCs w:val="21"/>
        </w:rPr>
        <w:t>六、</w:t>
      </w:r>
      <w:r>
        <w:rPr>
          <w:rFonts w:asciiTheme="minorEastAsia" w:hAnsiTheme="minorEastAsia" w:eastAsiaTheme="minorEastAsia"/>
          <w:szCs w:val="21"/>
        </w:rPr>
        <w:t>操作说明</w:t>
      </w:r>
      <w:bookmarkEnd w:id="17"/>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80KV 超低频输出接线方法</w:t>
      </w:r>
    </w:p>
    <w:p>
      <w:pPr>
        <w:spacing w:line="20" w:lineRule="exact"/>
        <w:rPr>
          <w:rFonts w:asciiTheme="minorEastAsia" w:hAnsiTheme="minorEastAsia" w:eastAsiaTheme="minorEastAsia"/>
          <w:szCs w:val="21"/>
        </w:rPr>
      </w:pPr>
    </w:p>
    <w:p>
      <w:pPr>
        <w:spacing w:line="200" w:lineRule="exact"/>
        <w:rPr>
          <w:rFonts w:asciiTheme="minorEastAsia" w:hAnsiTheme="minorEastAsia" w:eastAsiaTheme="minorEastAsia"/>
          <w:szCs w:val="21"/>
        </w:rPr>
      </w:pPr>
    </w:p>
    <w:p>
      <w:pPr>
        <w:jc w:val="center"/>
        <w:rPr>
          <w:rFonts w:cs="宋体" w:asciiTheme="minorEastAsia" w:hAnsiTheme="minorEastAsia" w:eastAsiaTheme="minorEastAsia"/>
          <w:szCs w:val="21"/>
        </w:rPr>
      </w:pPr>
      <w:r>
        <w:rPr>
          <w:rFonts w:asciiTheme="minorEastAsia" w:hAnsiTheme="minorEastAsia" w:eastAsiaTheme="minorEastAsia"/>
          <w:szCs w:val="21"/>
        </w:rPr>
        <w:drawing>
          <wp:inline distT="0" distB="0" distL="0" distR="0">
            <wp:extent cx="4714875" cy="3429000"/>
            <wp:effectExtent l="0" t="0" r="9525" b="0"/>
            <wp:docPr id="3" name="图片 16" descr="终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6" descr="终版"/>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4714875" cy="3429000"/>
                    </a:xfrm>
                    <a:prstGeom prst="rect">
                      <a:avLst/>
                    </a:prstGeom>
                    <a:noFill/>
                    <a:ln>
                      <a:noFill/>
                    </a:ln>
                  </pic:spPr>
                </pic:pic>
              </a:graphicData>
            </a:graphic>
          </wp:inline>
        </w:drawing>
      </w:r>
      <w:r>
        <w:rPr>
          <w:rFonts w:hint="eastAsia" w:cs="Calibri" w:asciiTheme="minorEastAsia" w:hAnsiTheme="minorEastAsia" w:eastAsiaTheme="minorEastAsia"/>
          <w:szCs w:val="21"/>
        </w:rPr>
        <w:t>图</w:t>
      </w:r>
      <w:r>
        <w:rPr>
          <w:rFonts w:cs="Calibri" w:asciiTheme="minorEastAsia" w:hAnsiTheme="minorEastAsia" w:eastAsiaTheme="minorEastAsia"/>
          <w:szCs w:val="21"/>
        </w:rPr>
        <w:t xml:space="preserve">3 </w:t>
      </w:r>
      <w:r>
        <w:rPr>
          <w:rFonts w:cs="宋体" w:asciiTheme="minorEastAsia" w:hAnsiTheme="minorEastAsia" w:eastAsiaTheme="minorEastAsia"/>
          <w:szCs w:val="21"/>
        </w:rPr>
        <w:t>接线示意图</w:t>
      </w:r>
    </w:p>
    <w:p>
      <w:pPr>
        <w:rPr>
          <w:rFonts w:cs="宋体" w:asciiTheme="minorEastAsia" w:hAnsiTheme="minorEastAsia" w:eastAsiaTheme="minorEastAsia"/>
          <w:szCs w:val="21"/>
        </w:rPr>
      </w:pPr>
    </w:p>
    <w:p>
      <w:pPr>
        <w:spacing w:line="411" w:lineRule="exact"/>
        <w:ind w:left="540" w:right="500" w:firstLine="420" w:firstLineChars="200"/>
        <w:rPr>
          <w:rFonts w:cs="宋体" w:asciiTheme="minorEastAsia" w:hAnsiTheme="minorEastAsia" w:eastAsiaTheme="minorEastAsia"/>
          <w:szCs w:val="21"/>
        </w:rPr>
      </w:pPr>
      <w:r>
        <w:rPr>
          <w:rFonts w:cs="宋体" w:asciiTheme="minorEastAsia" w:hAnsiTheme="minorEastAsia" w:eastAsiaTheme="minorEastAsia"/>
          <w:szCs w:val="21"/>
        </w:rPr>
        <w:t>接线说明：用本产品随机配备的控制输出专用线、高压输出专用线和接地线按图 3 的方法</w:t>
      </w:r>
      <w:bookmarkStart w:id="18" w:name="page10"/>
      <w:bookmarkEnd w:id="18"/>
      <w:r>
        <w:rPr>
          <w:rFonts w:cs="宋体" w:asciiTheme="minorEastAsia" w:hAnsiTheme="minorEastAsia" w:eastAsiaTheme="minorEastAsia"/>
          <w:szCs w:val="21"/>
        </w:rPr>
        <w:t>连接。电源插座用电源线连至 220V/50Hz 的交流电上。</w:t>
      </w:r>
    </w:p>
    <w:p>
      <w:pPr>
        <w:spacing w:line="411" w:lineRule="exact"/>
        <w:ind w:left="540" w:right="500"/>
        <w:rPr>
          <w:rFonts w:cs="宋体" w:asciiTheme="minorEastAsia" w:hAnsiTheme="minorEastAsia" w:eastAsiaTheme="minorEastAsia"/>
          <w:szCs w:val="21"/>
        </w:rPr>
      </w:pPr>
      <w:r>
        <w:rPr>
          <w:rFonts w:hint="eastAsia" w:cs="宋体" w:asciiTheme="minorEastAsia" w:hAnsiTheme="minorEastAsia" w:eastAsiaTheme="minorEastAsia"/>
          <w:szCs w:val="21"/>
        </w:rPr>
        <w:t>2、</w:t>
      </w:r>
      <w:r>
        <w:rPr>
          <w:rFonts w:cs="宋体" w:asciiTheme="minorEastAsia" w:hAnsiTheme="minorEastAsia" w:eastAsiaTheme="minorEastAsia"/>
          <w:szCs w:val="21"/>
        </w:rPr>
        <w:t>操作程序</w:t>
      </w:r>
    </w:p>
    <w:p>
      <w:pPr>
        <w:spacing w:line="411" w:lineRule="exact"/>
        <w:ind w:left="540" w:right="500"/>
        <w:rPr>
          <w:rFonts w:cs="宋体" w:asciiTheme="minorEastAsia" w:hAnsiTheme="minorEastAsia" w:eastAsiaTheme="minorEastAsia"/>
          <w:szCs w:val="21"/>
        </w:rPr>
      </w:pPr>
      <w:r>
        <w:rPr>
          <w:rFonts w:hint="eastAsia" w:cs="宋体" w:asciiTheme="minorEastAsia" w:hAnsiTheme="minorEastAsia" w:eastAsiaTheme="minorEastAsia"/>
          <w:szCs w:val="21"/>
        </w:rPr>
        <w:t>（1）</w:t>
      </w:r>
      <w:r>
        <w:rPr>
          <w:rFonts w:cs="宋体" w:asciiTheme="minorEastAsia" w:hAnsiTheme="minorEastAsia" w:eastAsiaTheme="minorEastAsia"/>
          <w:szCs w:val="21"/>
        </w:rPr>
        <w:t>开机、关机、复位</w:t>
      </w:r>
    </w:p>
    <w:p>
      <w:pPr>
        <w:spacing w:line="411" w:lineRule="exact"/>
        <w:ind w:left="540" w:right="500" w:firstLine="420" w:firstLineChars="200"/>
        <w:rPr>
          <w:rFonts w:cs="宋体" w:asciiTheme="minorEastAsia" w:hAnsiTheme="minorEastAsia" w:eastAsiaTheme="minorEastAsia"/>
          <w:szCs w:val="21"/>
        </w:rPr>
      </w:pPr>
      <w:r>
        <w:rPr>
          <w:rFonts w:cs="宋体" w:asciiTheme="minorEastAsia" w:hAnsiTheme="minorEastAsia" w:eastAsiaTheme="minorEastAsia"/>
          <w:szCs w:val="21"/>
        </w:rPr>
        <w:t>按上述方法连好所有线路之后，就可以将电源开关打开。仪器在微机上电或复位后，自动进入如图 4 所示的界面。在进行连线、拆线、或暂不使用仪器时，应将电源关掉。电源插座上装有保险管。若开机屏幕无显示，应先检查保险管是否熔断，保险管大小应按表 3 提供的数据更换。</w:t>
      </w:r>
    </w:p>
    <w:p>
      <w:pPr>
        <w:spacing w:line="20" w:lineRule="exact"/>
        <w:rPr>
          <w:rFonts w:asciiTheme="minorEastAsia" w:hAnsiTheme="minorEastAsia" w:eastAsiaTheme="minorEastAsia"/>
          <w:szCs w:val="21"/>
        </w:rPr>
      </w:pPr>
    </w:p>
    <w:p>
      <w:pPr>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74624" behindDoc="0" locked="0" layoutInCell="1" allowOverlap="1">
            <wp:simplePos x="0" y="0"/>
            <wp:positionH relativeFrom="margin">
              <wp:align>right</wp:align>
            </wp:positionH>
            <wp:positionV relativeFrom="paragraph">
              <wp:posOffset>176530</wp:posOffset>
            </wp:positionV>
            <wp:extent cx="5476875" cy="3524250"/>
            <wp:effectExtent l="0" t="0" r="9525" b="0"/>
            <wp:wrapSquare wrapText="bothSides"/>
            <wp:docPr id="157" name="图片 8" descr="001_主界面"/>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8" descr="001_主界面"/>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a:xfrm>
                      <a:off x="0" y="0"/>
                      <a:ext cx="5476875" cy="3524250"/>
                    </a:xfrm>
                    <a:prstGeom prst="rect">
                      <a:avLst/>
                    </a:prstGeom>
                    <a:noFill/>
                    <a:ln>
                      <a:noFill/>
                    </a:ln>
                  </pic:spPr>
                </pic:pic>
              </a:graphicData>
            </a:graphic>
          </wp:anchor>
        </w:drawing>
      </w:r>
    </w:p>
    <w:p>
      <w:pPr>
        <w:spacing w:line="200" w:lineRule="exact"/>
        <w:rPr>
          <w:rFonts w:asciiTheme="minorEastAsia" w:hAnsiTheme="minorEastAsia" w:eastAsiaTheme="minorEastAsia"/>
          <w:szCs w:val="21"/>
        </w:rPr>
      </w:pPr>
    </w:p>
    <w:p>
      <w:pPr>
        <w:spacing w:line="291" w:lineRule="exact"/>
        <w:jc w:val="center"/>
        <w:rPr>
          <w:rFonts w:cs="宋体" w:asciiTheme="minorEastAsia" w:hAnsiTheme="minorEastAsia" w:eastAsiaTheme="minorEastAsia"/>
          <w:szCs w:val="21"/>
        </w:rPr>
      </w:pPr>
      <w:r>
        <w:rPr>
          <w:rFonts w:cs="宋体" w:asciiTheme="minorEastAsia" w:hAnsiTheme="minorEastAsia" w:eastAsiaTheme="minorEastAsia"/>
          <w:szCs w:val="21"/>
        </w:rPr>
        <w:t>图4触摸屏</w:t>
      </w:r>
      <w:r>
        <w:rPr>
          <w:rFonts w:hint="eastAsia" w:cs="宋体" w:asciiTheme="minorEastAsia" w:hAnsiTheme="minorEastAsia" w:eastAsiaTheme="minorEastAsia"/>
          <w:szCs w:val="21"/>
        </w:rPr>
        <w:t>开机页</w:t>
      </w:r>
      <w:r>
        <w:rPr>
          <w:rFonts w:cs="宋体" w:asciiTheme="minorEastAsia" w:hAnsiTheme="minorEastAsia" w:eastAsiaTheme="minorEastAsia"/>
          <w:szCs w:val="21"/>
        </w:rPr>
        <w:t>示意图</w:t>
      </w:r>
    </w:p>
    <w:p>
      <w:pPr>
        <w:spacing w:line="291" w:lineRule="exact"/>
        <w:jc w:val="center"/>
        <w:rPr>
          <w:rFonts w:cs="宋体" w:asciiTheme="minorEastAsia" w:hAnsiTheme="minorEastAsia" w:eastAsiaTheme="minorEastAsia"/>
          <w:szCs w:val="21"/>
        </w:rPr>
      </w:pPr>
    </w:p>
    <w:p>
      <w:pPr>
        <w:numPr>
          <w:ilvl w:val="0"/>
          <w:numId w:val="2"/>
        </w:num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75648" behindDoc="0" locked="0" layoutInCell="1" allowOverlap="1">
            <wp:simplePos x="0" y="0"/>
            <wp:positionH relativeFrom="column">
              <wp:posOffset>57150</wp:posOffset>
            </wp:positionH>
            <wp:positionV relativeFrom="paragraph">
              <wp:posOffset>412115</wp:posOffset>
            </wp:positionV>
            <wp:extent cx="5438775" cy="3419475"/>
            <wp:effectExtent l="0" t="0" r="9525" b="9525"/>
            <wp:wrapSquare wrapText="bothSides"/>
            <wp:docPr id="158" name="图片 10" descr="040_接线方式选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0" descr="040_接线方式选择"/>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a:xfrm>
                      <a:off x="0" y="0"/>
                      <a:ext cx="5438775" cy="3419475"/>
                    </a:xfrm>
                    <a:prstGeom prst="rect">
                      <a:avLst/>
                    </a:prstGeom>
                    <a:noFill/>
                    <a:ln>
                      <a:noFill/>
                    </a:ln>
                  </pic:spPr>
                </pic:pic>
              </a:graphicData>
            </a:graphic>
          </wp:anchor>
        </w:drawing>
      </w:r>
      <w:r>
        <w:rPr>
          <w:rFonts w:hint="eastAsia" w:asciiTheme="minorEastAsia" w:hAnsiTheme="minorEastAsia" w:eastAsiaTheme="minorEastAsia"/>
          <w:szCs w:val="21"/>
        </w:rPr>
        <w:t>选择连接方式</w:t>
      </w:r>
    </w:p>
    <w:p>
      <w:pPr>
        <w:spacing w:line="360" w:lineRule="auto"/>
        <w:rPr>
          <w:rFonts w:asciiTheme="minorEastAsia" w:hAnsiTheme="minorEastAsia" w:eastAsiaTheme="minorEastAsia"/>
          <w:szCs w:val="21"/>
        </w:rPr>
      </w:pPr>
    </w:p>
    <w:p>
      <w:pPr>
        <w:spacing w:line="267" w:lineRule="exact"/>
        <w:ind w:right="-19" w:firstLine="2940" w:firstLineChars="1400"/>
        <w:rPr>
          <w:rFonts w:cs="宋体" w:asciiTheme="minorEastAsia" w:hAnsiTheme="minorEastAsia" w:eastAsiaTheme="minorEastAsia"/>
          <w:szCs w:val="21"/>
        </w:rPr>
      </w:pPr>
      <w:bookmarkStart w:id="19" w:name="page11"/>
      <w:bookmarkEnd w:id="19"/>
      <w:r>
        <w:rPr>
          <w:rFonts w:cs="宋体" w:asciiTheme="minorEastAsia" w:hAnsiTheme="minorEastAsia" w:eastAsiaTheme="minorEastAsia"/>
          <w:szCs w:val="21"/>
        </w:rPr>
        <w:t>图</w:t>
      </w:r>
      <w:r>
        <w:rPr>
          <w:rFonts w:cs="Calibri" w:asciiTheme="minorEastAsia" w:hAnsiTheme="minorEastAsia" w:eastAsiaTheme="minorEastAsia"/>
          <w:szCs w:val="21"/>
        </w:rPr>
        <w:t xml:space="preserve"> 5 </w:t>
      </w:r>
      <w:r>
        <w:rPr>
          <w:rFonts w:hint="eastAsia" w:cs="Calibri" w:asciiTheme="minorEastAsia" w:hAnsiTheme="minorEastAsia" w:eastAsiaTheme="minorEastAsia"/>
          <w:szCs w:val="21"/>
        </w:rPr>
        <w:t>连接方式选择</w:t>
      </w:r>
      <w:r>
        <w:rPr>
          <w:rFonts w:cs="宋体" w:asciiTheme="minorEastAsia" w:hAnsiTheme="minorEastAsia" w:eastAsiaTheme="minorEastAsia"/>
          <w:szCs w:val="21"/>
        </w:rPr>
        <w:t>界面</w:t>
      </w:r>
    </w:p>
    <w:p>
      <w:pPr>
        <w:spacing w:line="267" w:lineRule="exact"/>
        <w:ind w:right="-19" w:firstLine="2940" w:firstLineChars="1400"/>
        <w:rPr>
          <w:rFonts w:cs="宋体" w:asciiTheme="minorEastAsia" w:hAnsiTheme="minorEastAsia" w:eastAsiaTheme="minorEastAsia"/>
          <w:szCs w:val="21"/>
        </w:rPr>
      </w:pPr>
    </w:p>
    <w:p>
      <w:pPr>
        <w:numPr>
          <w:ilvl w:val="0"/>
          <w:numId w:val="2"/>
        </w:numPr>
        <w:spacing w:line="267" w:lineRule="exact"/>
        <w:ind w:right="-19"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参数设置</w:t>
      </w:r>
    </w:p>
    <w:p>
      <w:pPr>
        <w:spacing w:line="267" w:lineRule="exact"/>
        <w:ind w:left="420" w:right="-19"/>
        <w:rPr>
          <w:rFonts w:cs="宋体" w:asciiTheme="minorEastAsia" w:hAnsiTheme="minorEastAsia" w:eastAsiaTheme="minorEastAsia"/>
          <w:szCs w:val="21"/>
        </w:rPr>
      </w:pPr>
    </w:p>
    <w:p>
      <w:pPr>
        <w:ind w:left="420" w:leftChars="200" w:right="-19"/>
        <w:rPr>
          <w:rFonts w:cs="宋体" w:asciiTheme="minorEastAsia" w:hAnsiTheme="minorEastAsia" w:eastAsiaTheme="minorEastAsia"/>
          <w:szCs w:val="21"/>
        </w:rPr>
      </w:pPr>
      <w:r>
        <w:rPr>
          <w:rFonts w:cs="宋体" w:asciiTheme="minorEastAsia" w:hAnsiTheme="minorEastAsia" w:eastAsiaTheme="minorEastAsia"/>
          <w:szCs w:val="21"/>
        </w:rPr>
        <w:drawing>
          <wp:inline distT="0" distB="0" distL="0" distR="0">
            <wp:extent cx="5019675" cy="4295775"/>
            <wp:effectExtent l="0" t="0" r="9525" b="9525"/>
            <wp:docPr id="4" name="图片 11" descr="041_参数选择80k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1" descr="041_参数选择80kv"/>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a:xfrm>
                      <a:off x="0" y="0"/>
                      <a:ext cx="5019675" cy="4295775"/>
                    </a:xfrm>
                    <a:prstGeom prst="rect">
                      <a:avLst/>
                    </a:prstGeom>
                    <a:noFill/>
                    <a:ln>
                      <a:noFill/>
                    </a:ln>
                  </pic:spPr>
                </pic:pic>
              </a:graphicData>
            </a:graphic>
          </wp:inline>
        </w:drawing>
      </w:r>
    </w:p>
    <w:p>
      <w:pPr>
        <w:ind w:left="420" w:leftChars="200" w:right="-19"/>
        <w:rPr>
          <w:rFonts w:cs="宋体" w:asciiTheme="minorEastAsia" w:hAnsiTheme="minorEastAsia" w:eastAsiaTheme="minorEastAsia"/>
          <w:szCs w:val="21"/>
        </w:rPr>
      </w:pPr>
    </w:p>
    <w:p>
      <w:pPr>
        <w:ind w:left="420" w:leftChars="200" w:right="-19"/>
        <w:jc w:val="center"/>
        <w:rPr>
          <w:rFonts w:cs="宋体" w:asciiTheme="minorEastAsia" w:hAnsiTheme="minorEastAsia" w:eastAsiaTheme="minorEastAsia"/>
          <w:szCs w:val="21"/>
        </w:rPr>
      </w:pPr>
      <w:r>
        <w:rPr>
          <w:rFonts w:hint="eastAsia" w:cs="宋体" w:asciiTheme="minorEastAsia" w:hAnsiTheme="minorEastAsia" w:eastAsiaTheme="minorEastAsia"/>
          <w:szCs w:val="21"/>
        </w:rPr>
        <w:t>图6参数选择界面</w:t>
      </w:r>
    </w:p>
    <w:p>
      <w:pPr>
        <w:ind w:left="420" w:leftChars="200" w:right="-19"/>
        <w:jc w:val="center"/>
        <w:rPr>
          <w:rFonts w:cs="宋体" w:asciiTheme="minorEastAsia" w:hAnsiTheme="minorEastAsia" w:eastAsiaTheme="minorEastAsia"/>
          <w:szCs w:val="21"/>
        </w:rPr>
      </w:pPr>
    </w:p>
    <w:p>
      <w:pPr>
        <w:spacing w:line="122" w:lineRule="exact"/>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首先在图 4 屏上点击“</w:t>
      </w:r>
      <w:r>
        <w:rPr>
          <w:rFonts w:hint="eastAsia" w:asciiTheme="minorEastAsia" w:hAnsiTheme="minorEastAsia" w:eastAsiaTheme="minorEastAsia"/>
          <w:szCs w:val="21"/>
        </w:rPr>
        <w:t>系统测试</w:t>
      </w:r>
      <w:r>
        <w:rPr>
          <w:rFonts w:asciiTheme="minorEastAsia" w:hAnsiTheme="minorEastAsia" w:eastAsiaTheme="minorEastAsia"/>
          <w:szCs w:val="21"/>
        </w:rPr>
        <w:t>”按键会出现图 5 所示的</w:t>
      </w:r>
      <w:r>
        <w:rPr>
          <w:rFonts w:hint="eastAsia" w:asciiTheme="minorEastAsia" w:hAnsiTheme="minorEastAsia" w:eastAsiaTheme="minorEastAsia"/>
          <w:szCs w:val="21"/>
        </w:rPr>
        <w:t>连接方式选择</w:t>
      </w:r>
      <w:r>
        <w:rPr>
          <w:rFonts w:asciiTheme="minorEastAsia" w:hAnsiTheme="minorEastAsia" w:eastAsiaTheme="minorEastAsia"/>
          <w:szCs w:val="21"/>
        </w:rPr>
        <w:t>界面，在图 5 上可</w:t>
      </w:r>
      <w:r>
        <w:rPr>
          <w:rFonts w:hint="eastAsia" w:asciiTheme="minorEastAsia" w:hAnsiTheme="minorEastAsia" w:eastAsiaTheme="minorEastAsia"/>
          <w:szCs w:val="21"/>
        </w:rPr>
        <w:t>选择单联或串联</w:t>
      </w:r>
      <w:r>
        <w:rPr>
          <w:rFonts w:asciiTheme="minorEastAsia" w:hAnsiTheme="minorEastAsia" w:eastAsiaTheme="minorEastAsia"/>
          <w:szCs w:val="21"/>
        </w:rPr>
        <w:t>。</w:t>
      </w:r>
      <w:r>
        <w:rPr>
          <w:rFonts w:hint="eastAsia" w:asciiTheme="minorEastAsia" w:hAnsiTheme="minorEastAsia" w:eastAsiaTheme="minorEastAsia"/>
          <w:szCs w:val="21"/>
        </w:rPr>
        <w:t>选择好以后按“确定”键进入图6所示的参数选择界面，频率，电压，试验时间，过压保护值和过流保护值都可以进行设置。</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频率有三种选择：0.1、0.05、0.02，单位为 Hz。</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定时修改范围：0-99 分。它规定了试验时间的长短，单位为分钟。</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设定电压：范围为 0 至额定值，单位为 kV。它设置了我们所要升至的试验电压。仪器</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升至这个设定限压值时，就不再升压,并保持在这个峰值下进行等幅的正弦波输出。</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★过压保护值</w:t>
      </w:r>
      <w:r>
        <w:rPr>
          <w:rFonts w:asciiTheme="minorEastAsia" w:hAnsiTheme="minorEastAsia" w:eastAsiaTheme="minorEastAsia"/>
          <w:szCs w:val="21"/>
        </w:rPr>
        <w:t>：电压保护值设定范围为 0 至额定值，单位为 kV。它规定了通过试品的电压上限值，当电压超过此设定时，仪器自动切断输出。</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★过流保护值</w:t>
      </w:r>
      <w:r>
        <w:rPr>
          <w:rFonts w:asciiTheme="minorEastAsia" w:hAnsiTheme="minorEastAsia" w:eastAsiaTheme="minorEastAsia"/>
          <w:szCs w:val="21"/>
        </w:rPr>
        <w:t>：电流保护值设定范围为 0 至额定值，单位为 mA。它规定了通过试品的电流上限值，当电流超过此设定时，仪器自动切断输出。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（注意：以上电压、电流及仪器显示的测量数据均为峰值。）</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（3) 自动升压</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76672" behindDoc="0" locked="0" layoutInCell="1" allowOverlap="1">
            <wp:simplePos x="0" y="0"/>
            <wp:positionH relativeFrom="column">
              <wp:posOffset>142875</wp:posOffset>
            </wp:positionH>
            <wp:positionV relativeFrom="paragraph">
              <wp:posOffset>267970</wp:posOffset>
            </wp:positionV>
            <wp:extent cx="5124450" cy="3299460"/>
            <wp:effectExtent l="0" t="0" r="0" b="0"/>
            <wp:wrapSquare wrapText="bothSides"/>
            <wp:docPr id="159" name="图片 13" descr="042_波形显示开始界面80k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3" descr="042_波形显示开始界面80kv"/>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a:xfrm>
                      <a:off x="0" y="0"/>
                      <a:ext cx="5124450" cy="3299460"/>
                    </a:xfrm>
                    <a:prstGeom prst="rect">
                      <a:avLst/>
                    </a:prstGeom>
                    <a:noFill/>
                    <a:ln>
                      <a:noFill/>
                    </a:ln>
                  </pic:spPr>
                </pic:pic>
              </a:graphicData>
            </a:graphic>
          </wp:anchor>
        </w:drawing>
      </w:r>
      <w:r>
        <w:rPr>
          <w:rFonts w:asciiTheme="minorEastAsia" w:hAnsiTheme="minorEastAsia" w:eastAsiaTheme="minorEastAsia"/>
          <w:szCs w:val="21"/>
        </w:rPr>
        <w:t xml:space="preserve">按图 </w:t>
      </w:r>
      <w:r>
        <w:rPr>
          <w:rFonts w:hint="eastAsia" w:asciiTheme="minorEastAsia" w:hAnsiTheme="minorEastAsia" w:eastAsiaTheme="minorEastAsia"/>
          <w:szCs w:val="21"/>
        </w:rPr>
        <w:t>6</w:t>
      </w:r>
      <w:r>
        <w:rPr>
          <w:rFonts w:asciiTheme="minorEastAsia" w:hAnsiTheme="minorEastAsia" w:eastAsiaTheme="minorEastAsia"/>
          <w:szCs w:val="21"/>
        </w:rPr>
        <w:t xml:space="preserve"> 中的“</w:t>
      </w:r>
      <w:r>
        <w:rPr>
          <w:rFonts w:hint="eastAsia" w:asciiTheme="minorEastAsia" w:hAnsiTheme="minorEastAsia" w:eastAsiaTheme="minorEastAsia"/>
          <w:szCs w:val="21"/>
        </w:rPr>
        <w:t>确定</w:t>
      </w:r>
      <w:r>
        <w:rPr>
          <w:rFonts w:asciiTheme="minorEastAsia" w:hAnsiTheme="minorEastAsia" w:eastAsiaTheme="minorEastAsia"/>
          <w:szCs w:val="21"/>
        </w:rPr>
        <w:t>”键后，</w:t>
      </w:r>
      <w:r>
        <w:rPr>
          <w:rFonts w:hint="eastAsia" w:asciiTheme="minorEastAsia" w:hAnsiTheme="minorEastAsia" w:eastAsiaTheme="minorEastAsia"/>
          <w:szCs w:val="21"/>
        </w:rPr>
        <w:t>仪器进入到下一个界面如图7所示</w:t>
      </w:r>
    </w:p>
    <w:p>
      <w:pPr>
        <w:spacing w:line="360" w:lineRule="auto"/>
        <w:ind w:firstLine="420" w:firstLineChars="200"/>
        <w:jc w:val="center"/>
        <w:rPr>
          <w:rFonts w:asciiTheme="minorEastAsia" w:hAnsiTheme="minorEastAsia" w:eastAsiaTheme="minorEastAsia"/>
          <w:szCs w:val="21"/>
        </w:rPr>
      </w:pPr>
    </w:p>
    <w:p>
      <w:pPr>
        <w:spacing w:line="360" w:lineRule="auto"/>
        <w:ind w:firstLine="420" w:firstLineChars="200"/>
        <w:jc w:val="center"/>
        <w:rPr>
          <w:rFonts w:asciiTheme="minorEastAsia" w:hAnsiTheme="minorEastAsia" w:eastAsiaTheme="minorEastAsia"/>
          <w:szCs w:val="21"/>
        </w:rPr>
      </w:pPr>
      <w:r>
        <w:rPr>
          <w:rFonts w:hint="eastAsia" w:asciiTheme="minorEastAsia" w:hAnsiTheme="minorEastAsia" w:eastAsiaTheme="minorEastAsia"/>
          <w:szCs w:val="21"/>
        </w:rPr>
        <w:t>图7准备升压阶段</w:t>
      </w:r>
    </w:p>
    <w:p>
      <w:pPr>
        <w:spacing w:line="360" w:lineRule="auto"/>
        <w:ind w:firstLine="420" w:firstLineChars="200"/>
        <w:rPr>
          <w:rFonts w:asciiTheme="minorEastAsia" w:hAnsiTheme="minorEastAsia" w:eastAsiaTheme="minorEastAsia"/>
          <w:szCs w:val="21"/>
        </w:rPr>
      </w:pPr>
      <w:bookmarkStart w:id="20" w:name="page12"/>
      <w:bookmarkEnd w:id="20"/>
      <w:r>
        <w:rPr>
          <w:rFonts w:asciiTheme="minorEastAsia" w:hAnsiTheme="minorEastAsia" w:eastAsiaTheme="minorEastAsia"/>
          <w:szCs w:val="21"/>
        </w:rPr>
        <w:drawing>
          <wp:anchor distT="0" distB="0" distL="114300" distR="114300" simplePos="0" relativeHeight="251678720" behindDoc="0" locked="0" layoutInCell="1" allowOverlap="1">
            <wp:simplePos x="0" y="0"/>
            <wp:positionH relativeFrom="column">
              <wp:posOffset>51435</wp:posOffset>
            </wp:positionH>
            <wp:positionV relativeFrom="paragraph">
              <wp:posOffset>676910</wp:posOffset>
            </wp:positionV>
            <wp:extent cx="5244465" cy="3481705"/>
            <wp:effectExtent l="0" t="0" r="0" b="4445"/>
            <wp:wrapSquare wrapText="bothSides"/>
            <wp:docPr id="160" name="图片 15" descr="043_波形显示升压 80k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5" descr="043_波形显示升压 80kv"/>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a:xfrm>
                      <a:off x="0" y="0"/>
                      <a:ext cx="5244465" cy="3481705"/>
                    </a:xfrm>
                    <a:prstGeom prst="rect">
                      <a:avLst/>
                    </a:prstGeom>
                    <a:noFill/>
                    <a:ln>
                      <a:noFill/>
                    </a:ln>
                  </pic:spPr>
                </pic:pic>
              </a:graphicData>
            </a:graphic>
          </wp:anchor>
        </w:drawing>
      </w:r>
      <w:r>
        <w:rPr>
          <w:rFonts w:hint="eastAsia" w:asciiTheme="minorEastAsia" w:hAnsiTheme="minorEastAsia" w:eastAsiaTheme="minorEastAsia"/>
          <w:szCs w:val="21"/>
        </w:rPr>
        <w:t xml:space="preserve">按图7中的“开始”键以后仪器进入到图8升压阶段，仪器开始升压，升到所设置的目标电压。                              </w:t>
      </w:r>
    </w:p>
    <w:p>
      <w:pPr>
        <w:spacing w:line="360" w:lineRule="auto"/>
        <w:ind w:firstLine="420" w:firstLineChars="200"/>
        <w:rPr>
          <w:rFonts w:asciiTheme="minorEastAsia" w:hAnsiTheme="minorEastAsia" w:eastAsiaTheme="minorEastAsia"/>
          <w:szCs w:val="21"/>
        </w:rPr>
      </w:pPr>
    </w:p>
    <w:p>
      <w:pPr>
        <w:spacing w:line="360" w:lineRule="auto"/>
        <w:ind w:firstLine="420" w:firstLineChars="200"/>
        <w:jc w:val="center"/>
        <w:rPr>
          <w:rFonts w:asciiTheme="minorEastAsia" w:hAnsiTheme="minorEastAsia" w:eastAsiaTheme="minorEastAsia"/>
          <w:szCs w:val="21"/>
        </w:rPr>
      </w:pPr>
      <w:r>
        <w:rPr>
          <w:rFonts w:hint="eastAsia" w:asciiTheme="minorEastAsia" w:hAnsiTheme="minorEastAsia" w:eastAsiaTheme="minorEastAsia"/>
          <w:szCs w:val="21"/>
        </w:rPr>
        <w:t>图8 升压界面</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屏幕的下方的显示框中有提示字样“高压试验，注意安全！”</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升压过程</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仪器升压到所设置的电压以后，计时开始进行</w:t>
      </w:r>
    </w:p>
    <w:p>
      <w:pPr>
        <w:spacing w:line="20" w:lineRule="exact"/>
        <w:rPr>
          <w:rFonts w:asciiTheme="minorEastAsia" w:hAnsiTheme="minorEastAsia" w:eastAsiaTheme="minorEastAsia"/>
          <w:szCs w:val="21"/>
        </w:rPr>
      </w:pPr>
    </w:p>
    <w:p>
      <w:pPr>
        <w:spacing w:line="20" w:lineRule="exact"/>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停机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drawing>
          <wp:anchor distT="0" distB="0" distL="114300" distR="114300" simplePos="0" relativeHeight="251677696" behindDoc="0" locked="0" layoutInCell="1" allowOverlap="1">
            <wp:simplePos x="0" y="0"/>
            <wp:positionH relativeFrom="column">
              <wp:posOffset>19050</wp:posOffset>
            </wp:positionH>
            <wp:positionV relativeFrom="paragraph">
              <wp:posOffset>852805</wp:posOffset>
            </wp:positionV>
            <wp:extent cx="5705475" cy="3724275"/>
            <wp:effectExtent l="0" t="0" r="9525" b="9525"/>
            <wp:wrapSquare wrapText="bothSides"/>
            <wp:docPr id="161" name="图片 17" descr="006_波形显示存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7" descr="006_波形显示存储"/>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a:xfrm>
                      <a:off x="0" y="0"/>
                      <a:ext cx="5705475" cy="3724275"/>
                    </a:xfrm>
                    <a:prstGeom prst="rect">
                      <a:avLst/>
                    </a:prstGeom>
                    <a:noFill/>
                    <a:ln>
                      <a:noFill/>
                    </a:ln>
                  </pic:spPr>
                </pic:pic>
              </a:graphicData>
            </a:graphic>
          </wp:anchor>
        </w:drawing>
      </w:r>
      <w:r>
        <w:rPr>
          <w:rFonts w:asciiTheme="minorEastAsia" w:hAnsiTheme="minorEastAsia" w:eastAsiaTheme="minorEastAsia"/>
          <w:szCs w:val="21"/>
        </w:rPr>
        <w:t>当计时达到设定时间，仪器自动停机</w:t>
      </w:r>
      <w:r>
        <w:rPr>
          <w:rFonts w:hint="eastAsia" w:asciiTheme="minorEastAsia" w:hAnsiTheme="minorEastAsia" w:eastAsiaTheme="minorEastAsia"/>
          <w:szCs w:val="21"/>
        </w:rPr>
        <w:t>，自动放电，当电压下降到0.8KV以下时仪器跳转到下一个界面如图9所示</w:t>
      </w:r>
    </w:p>
    <w:p>
      <w:pPr>
        <w:spacing w:line="360" w:lineRule="auto"/>
        <w:ind w:firstLine="420" w:firstLineChars="200"/>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p>
    <w:p>
      <w:pPr>
        <w:spacing w:line="360" w:lineRule="auto"/>
        <w:ind w:firstLine="420" w:firstLineChars="200"/>
        <w:jc w:val="center"/>
        <w:rPr>
          <w:rFonts w:asciiTheme="minorEastAsia" w:hAnsiTheme="minorEastAsia" w:eastAsiaTheme="minorEastAsia"/>
          <w:szCs w:val="21"/>
        </w:rPr>
      </w:pPr>
      <w:r>
        <w:rPr>
          <w:rFonts w:hint="eastAsia" w:asciiTheme="minorEastAsia" w:hAnsiTheme="minorEastAsia" w:eastAsiaTheme="minorEastAsia"/>
          <w:szCs w:val="21"/>
        </w:rPr>
        <w:t>图 9  打印报告和数据存储</w:t>
      </w:r>
    </w:p>
    <w:p>
      <w:pPr>
        <w:spacing w:line="360" w:lineRule="auto"/>
        <w:ind w:firstLine="420" w:firstLineChars="200"/>
        <w:jc w:val="center"/>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按下“存储”键以后可以对测试的数据进行保存</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按下“打印报告”键以后可以对测试的数据进行打印</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注：在试验过程中一般电压未出现异常情况、试品没有放电现象或出现过流保护，就可认为验通过。</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仪器提供两种停机方式：</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 xml:space="preserve"> 定时停机：当计时达到设定时间，仪器自动停机</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手动停机：点击“</w:t>
      </w:r>
      <w:r>
        <w:rPr>
          <w:rFonts w:hint="eastAsia" w:asciiTheme="minorEastAsia" w:hAnsiTheme="minorEastAsia" w:eastAsiaTheme="minorEastAsia"/>
          <w:szCs w:val="21"/>
        </w:rPr>
        <w:t>停止</w:t>
      </w:r>
      <w:r>
        <w:rPr>
          <w:rFonts w:asciiTheme="minorEastAsia" w:hAnsiTheme="minorEastAsia" w:eastAsiaTheme="minorEastAsia"/>
          <w:szCs w:val="21"/>
        </w:rPr>
        <w:t>”键可停机。</w:t>
      </w:r>
    </w:p>
    <w:p>
      <w:pPr>
        <w:spacing w:line="360" w:lineRule="auto"/>
        <w:ind w:firstLine="420" w:firstLineChars="200"/>
        <w:rPr>
          <w:rFonts w:asciiTheme="minorEastAsia" w:hAnsiTheme="minorEastAsia" w:eastAsiaTheme="minorEastAsia"/>
          <w:szCs w:val="21"/>
        </w:rPr>
      </w:pPr>
      <w:bookmarkStart w:id="21" w:name="page15"/>
      <w:bookmarkEnd w:id="21"/>
      <w:r>
        <w:rPr>
          <w:rFonts w:asciiTheme="minorEastAsia" w:hAnsiTheme="minorEastAsia" w:eastAsiaTheme="minorEastAsia"/>
          <w:szCs w:val="21"/>
        </w:rPr>
        <w:t>这两种停机方式为正常停机。</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另外还有</w:t>
      </w:r>
      <w:r>
        <w:rPr>
          <w:rFonts w:hint="eastAsia" w:asciiTheme="minorEastAsia" w:hAnsiTheme="minorEastAsia" w:eastAsiaTheme="minorEastAsia"/>
          <w:szCs w:val="21"/>
        </w:rPr>
        <w:t>三</w:t>
      </w:r>
      <w:r>
        <w:rPr>
          <w:rFonts w:asciiTheme="minorEastAsia" w:hAnsiTheme="minorEastAsia" w:eastAsiaTheme="minorEastAsia"/>
          <w:szCs w:val="21"/>
        </w:rPr>
        <w:t>种非正常停机:过压保护停机、过流保护停机</w:t>
      </w:r>
      <w:r>
        <w:rPr>
          <w:rFonts w:hint="eastAsia" w:asciiTheme="minorEastAsia" w:hAnsiTheme="minorEastAsia" w:eastAsiaTheme="minorEastAsia"/>
          <w:szCs w:val="21"/>
        </w:rPr>
        <w:t>，闪络保护停机</w:t>
      </w:r>
      <w:r>
        <w:rPr>
          <w:rFonts w:asciiTheme="minorEastAsia" w:hAnsiTheme="minorEastAsia" w:eastAsiaTheme="minorEastAsia"/>
          <w:szCs w:val="21"/>
        </w:rPr>
        <w:t>。</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 xml:space="preserve"> 过压保护停机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当在试验的过程中，输出高压超过设定限值，仪器起动停机指令后，自动切断输出</w:t>
      </w:r>
      <w:r>
        <w:rPr>
          <w:rFonts w:hint="eastAsia" w:asciiTheme="minorEastAsia" w:hAnsiTheme="minorEastAsia" w:eastAsiaTheme="minorEastAsia"/>
          <w:szCs w:val="21"/>
        </w:rPr>
        <w:t>。</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屏幕的下方的文本框中会提示“过压保护！”字样</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asciiTheme="minorEastAsia" w:hAnsiTheme="minorEastAsia" w:eastAsiaTheme="minorEastAsia"/>
          <w:szCs w:val="21"/>
        </w:rPr>
        <w:t xml:space="preserve"> 过流保护停机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当在试验的过程中，输出电流超过设定限值，仪器起动停机指令后，自动切断输出，</w:t>
      </w:r>
      <w:r>
        <w:rPr>
          <w:rFonts w:hint="eastAsia" w:asciiTheme="minorEastAsia" w:hAnsiTheme="minorEastAsia" w:eastAsiaTheme="minorEastAsia"/>
          <w:szCs w:val="21"/>
        </w:rPr>
        <w:t>屏幕的下方的文本框中会提示“过流保护！”字样</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szCs w:val="21"/>
        </w:rPr>
        <w:t>★</w:t>
      </w:r>
      <w:r>
        <w:rPr>
          <w:rFonts w:hint="eastAsia" w:asciiTheme="minorEastAsia" w:hAnsiTheme="minorEastAsia" w:eastAsiaTheme="minorEastAsia"/>
          <w:szCs w:val="21"/>
        </w:rPr>
        <w:t>闪络</w:t>
      </w:r>
      <w:r>
        <w:rPr>
          <w:rFonts w:asciiTheme="minorEastAsia" w:hAnsiTheme="minorEastAsia" w:eastAsiaTheme="minorEastAsia"/>
          <w:szCs w:val="21"/>
        </w:rPr>
        <w:t>保护停机</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当被试品或升压器发生了放电情况以后，仪器就启动闪络保护，迅速停机，保护被试品和设备的安全，同时下面的文本框中提示“闪络保护”字样</w:t>
      </w:r>
      <w:bookmarkStart w:id="22" w:name="page16"/>
      <w:bookmarkEnd w:id="22"/>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（4）打印</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xml:space="preserve">点击图 </w:t>
      </w:r>
      <w:r>
        <w:rPr>
          <w:rFonts w:hint="eastAsia" w:asciiTheme="minorEastAsia" w:hAnsiTheme="minorEastAsia" w:eastAsiaTheme="minorEastAsia"/>
          <w:szCs w:val="21"/>
        </w:rPr>
        <w:t>9中</w:t>
      </w:r>
      <w:r>
        <w:rPr>
          <w:rFonts w:asciiTheme="minorEastAsia" w:hAnsiTheme="minorEastAsia" w:eastAsiaTheme="minorEastAsia"/>
          <w:szCs w:val="21"/>
        </w:rPr>
        <w:t>的“打印</w:t>
      </w:r>
      <w:r>
        <w:rPr>
          <w:rFonts w:hint="eastAsia" w:asciiTheme="minorEastAsia" w:hAnsiTheme="minorEastAsia" w:eastAsiaTheme="minorEastAsia"/>
          <w:szCs w:val="21"/>
        </w:rPr>
        <w:t>报告</w:t>
      </w:r>
      <w:r>
        <w:rPr>
          <w:rFonts w:asciiTheme="minorEastAsia" w:hAnsiTheme="minorEastAsia" w:eastAsiaTheme="minorEastAsia"/>
          <w:szCs w:val="21"/>
        </w:rPr>
        <w:t>”键，可将显示器上的本次数据打印成试验报告。</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（5）查看历史数据</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查看历史数据，点击</w:t>
      </w:r>
      <w:r>
        <w:rPr>
          <w:rFonts w:hint="eastAsia" w:asciiTheme="minorEastAsia" w:hAnsiTheme="minorEastAsia" w:eastAsiaTheme="minorEastAsia"/>
          <w:szCs w:val="21"/>
        </w:rPr>
        <w:t>图4中的</w:t>
      </w:r>
      <w:r>
        <w:rPr>
          <w:rFonts w:asciiTheme="minorEastAsia" w:hAnsiTheme="minorEastAsia" w:eastAsiaTheme="minorEastAsia"/>
          <w:szCs w:val="21"/>
        </w:rPr>
        <w:t>“</w:t>
      </w:r>
      <w:r>
        <w:rPr>
          <w:rFonts w:hint="eastAsia" w:asciiTheme="minorEastAsia" w:hAnsiTheme="minorEastAsia" w:eastAsiaTheme="minorEastAsia"/>
          <w:szCs w:val="21"/>
        </w:rPr>
        <w:t>数据查看</w:t>
      </w:r>
      <w:r>
        <w:rPr>
          <w:rFonts w:asciiTheme="minorEastAsia" w:hAnsiTheme="minorEastAsia" w:eastAsiaTheme="minorEastAsia"/>
          <w:szCs w:val="21"/>
        </w:rPr>
        <w:t>”键，可</w:t>
      </w:r>
      <w:r>
        <w:rPr>
          <w:rFonts w:hint="eastAsia" w:asciiTheme="minorEastAsia" w:hAnsiTheme="minorEastAsia" w:eastAsiaTheme="minorEastAsia"/>
          <w:szCs w:val="21"/>
        </w:rPr>
        <w:t>查看</w:t>
      </w:r>
      <w:r>
        <w:rPr>
          <w:rFonts w:asciiTheme="minorEastAsia" w:hAnsiTheme="minorEastAsia" w:eastAsiaTheme="minorEastAsia"/>
          <w:szCs w:val="21"/>
        </w:rPr>
        <w:t>当前显示的历史数据。</w:t>
      </w:r>
    </w:p>
    <w:p>
      <w:pPr>
        <w:spacing w:line="360" w:lineRule="auto"/>
        <w:ind w:firstLine="420" w:firstLineChars="200"/>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457825" cy="4229100"/>
            <wp:effectExtent l="0" t="0" r="9525" b="0"/>
            <wp:docPr id="5" name="图片 21" descr="008_数据查看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21" descr="008_数据查看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a:xfrm>
                      <a:off x="0" y="0"/>
                      <a:ext cx="5457825" cy="4229100"/>
                    </a:xfrm>
                    <a:prstGeom prst="rect">
                      <a:avLst/>
                    </a:prstGeom>
                    <a:noFill/>
                    <a:ln>
                      <a:noFill/>
                    </a:ln>
                  </pic:spPr>
                </pic:pic>
              </a:graphicData>
            </a:graphic>
          </wp:inline>
        </w:drawing>
      </w:r>
    </w:p>
    <w:p>
      <w:pPr>
        <w:spacing w:line="360" w:lineRule="auto"/>
        <w:ind w:firstLine="420" w:firstLineChars="200"/>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 xml:space="preserve">                                图10查看历史数据</w:t>
      </w:r>
    </w:p>
    <w:p>
      <w:pPr>
        <w:spacing w:line="360" w:lineRule="auto"/>
        <w:ind w:firstLine="420" w:firstLineChars="200"/>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时钟设置</w:t>
      </w:r>
      <w:bookmarkStart w:id="23" w:name="page17"/>
      <w:bookmarkEnd w:id="23"/>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057775" cy="3400425"/>
            <wp:effectExtent l="0" t="0" r="9525" b="9525"/>
            <wp:docPr id="6" name="图片 22" descr="032_系统设置按键效果"/>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2" descr="032_系统设置按键效果"/>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a:xfrm>
                      <a:off x="0" y="0"/>
                      <a:ext cx="5057775" cy="3400425"/>
                    </a:xfrm>
                    <a:prstGeom prst="rect">
                      <a:avLst/>
                    </a:prstGeom>
                    <a:noFill/>
                    <a:ln>
                      <a:noFill/>
                    </a:ln>
                  </pic:spPr>
                </pic:pic>
              </a:graphicData>
            </a:graphic>
          </wp:inline>
        </w:drawing>
      </w:r>
    </w:p>
    <w:p>
      <w:pPr>
        <w:spacing w:line="360" w:lineRule="auto"/>
        <w:ind w:firstLine="420" w:firstLineChars="200"/>
        <w:jc w:val="center"/>
        <w:rPr>
          <w:rFonts w:asciiTheme="minorEastAsia" w:hAnsiTheme="minorEastAsia" w:eastAsiaTheme="minorEastAsia"/>
          <w:szCs w:val="21"/>
        </w:rPr>
      </w:pPr>
      <w:r>
        <w:rPr>
          <w:rFonts w:hint="eastAsia" w:asciiTheme="minorEastAsia" w:hAnsiTheme="minorEastAsia" w:eastAsiaTheme="minorEastAsia"/>
          <w:szCs w:val="21"/>
        </w:rPr>
        <w:t>图11 时钟设置界面</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xml:space="preserve">点击图 </w:t>
      </w:r>
      <w:r>
        <w:rPr>
          <w:rFonts w:hint="eastAsia" w:asciiTheme="minorEastAsia" w:hAnsiTheme="minorEastAsia" w:eastAsiaTheme="minorEastAsia"/>
          <w:szCs w:val="21"/>
        </w:rPr>
        <w:t>11</w:t>
      </w:r>
      <w:r>
        <w:rPr>
          <w:rFonts w:asciiTheme="minorEastAsia" w:hAnsiTheme="minorEastAsia" w:eastAsiaTheme="minorEastAsia"/>
          <w:szCs w:val="21"/>
        </w:rPr>
        <w:t xml:space="preserve"> 中的</w:t>
      </w:r>
      <w:r>
        <w:rPr>
          <w:rFonts w:hint="eastAsia" w:asciiTheme="minorEastAsia" w:hAnsiTheme="minorEastAsia" w:eastAsiaTheme="minorEastAsia"/>
          <w:szCs w:val="21"/>
        </w:rPr>
        <w:t>触控键时间设置后</w:t>
      </w:r>
      <w:r>
        <w:rPr>
          <w:rFonts w:asciiTheme="minorEastAsia" w:hAnsiTheme="minorEastAsia" w:eastAsiaTheme="minorEastAsia"/>
          <w:szCs w:val="21"/>
        </w:rPr>
        <w:t>出现</w:t>
      </w:r>
      <w:r>
        <w:rPr>
          <w:rFonts w:hint="eastAsia" w:asciiTheme="minorEastAsia" w:hAnsiTheme="minorEastAsia" w:eastAsiaTheme="minorEastAsia"/>
          <w:szCs w:val="21"/>
        </w:rPr>
        <w:t>一个时钟的RTC显示界面和计算器对话框出来，可以对年，月，日，时，分，秒进行设置</w:t>
      </w:r>
      <w:r>
        <w:rPr>
          <w:rFonts w:asciiTheme="minorEastAsia" w:hAnsiTheme="minorEastAsia" w:eastAsiaTheme="minorEastAsia"/>
          <w:szCs w:val="21"/>
        </w:rPr>
        <w:t>。</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仪器还有帮助文档功能，点击图4中的“帮助文档”图标，仪器进入帮助文档界面，里面就有对超低频整个接线的介绍如下图所示：</w:t>
      </w:r>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381625" cy="3324225"/>
            <wp:effectExtent l="0" t="0" r="9525" b="9525"/>
            <wp:docPr id="7" name="图片 20" descr="014_帮助文档"/>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0" descr="014_帮助文档"/>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5381625" cy="3324225"/>
                    </a:xfrm>
                    <a:prstGeom prst="rect">
                      <a:avLst/>
                    </a:prstGeom>
                    <a:noFill/>
                    <a:ln>
                      <a:noFill/>
                    </a:ln>
                  </pic:spPr>
                </pic:pic>
              </a:graphicData>
            </a:graphic>
          </wp:inline>
        </w:drawing>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图 12</w:t>
      </w:r>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372100" cy="3705225"/>
            <wp:effectExtent l="0" t="0" r="0" b="9525"/>
            <wp:docPr id="8" name="图片 23" descr="015_帮助文档_试验如何接线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3" descr="015_帮助文档_试验如何接线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a:xfrm>
                      <a:off x="0" y="0"/>
                      <a:ext cx="5372100" cy="3705225"/>
                    </a:xfrm>
                    <a:prstGeom prst="rect">
                      <a:avLst/>
                    </a:prstGeom>
                    <a:noFill/>
                    <a:ln>
                      <a:noFill/>
                    </a:ln>
                  </pic:spPr>
                </pic:pic>
              </a:graphicData>
            </a:graphic>
          </wp:inline>
        </w:drawing>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图13</w:t>
      </w:r>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362575" cy="4076700"/>
            <wp:effectExtent l="0" t="0" r="9525" b="0"/>
            <wp:docPr id="9" name="图片 25" descr="018_帮助文档_试验如何设置参数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25" descr="018_帮助文档_试验如何设置参数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a:xfrm>
                      <a:off x="0" y="0"/>
                      <a:ext cx="5362575" cy="4076700"/>
                    </a:xfrm>
                    <a:prstGeom prst="rect">
                      <a:avLst/>
                    </a:prstGeom>
                    <a:noFill/>
                    <a:ln>
                      <a:noFill/>
                    </a:ln>
                  </pic:spPr>
                </pic:pic>
              </a:graphicData>
            </a:graphic>
          </wp:inline>
        </w:drawing>
      </w:r>
    </w:p>
    <w:p>
      <w:pPr>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图 14</w:t>
      </w:r>
    </w:p>
    <w:p>
      <w:pPr>
        <w:spacing w:line="360" w:lineRule="auto"/>
        <w:jc w:val="center"/>
        <w:rPr>
          <w:rFonts w:asciiTheme="minorEastAsia" w:hAnsiTheme="minorEastAsia" w:eastAsiaTheme="minorEastAsia"/>
          <w:szCs w:val="21"/>
        </w:rPr>
      </w:pPr>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410200" cy="4019550"/>
            <wp:effectExtent l="0" t="0" r="0" b="0"/>
            <wp:docPr id="10" name="图片 26" descr="019_帮助文档_试验如何设置参数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6" descr="019_帮助文档_试验如何设置参数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a:xfrm>
                      <a:off x="0" y="0"/>
                      <a:ext cx="5410200" cy="4019550"/>
                    </a:xfrm>
                    <a:prstGeom prst="rect">
                      <a:avLst/>
                    </a:prstGeom>
                    <a:noFill/>
                    <a:ln>
                      <a:noFill/>
                    </a:ln>
                  </pic:spPr>
                </pic:pic>
              </a:graphicData>
            </a:graphic>
          </wp:inline>
        </w:drawing>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图 15</w:t>
      </w:r>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438775" cy="3762375"/>
            <wp:effectExtent l="0" t="0" r="9525" b="9525"/>
            <wp:docPr id="11" name="图片 27" descr="020_帮助文档_试验注意事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27" descr="020_帮助文档_试验注意事项"/>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a:xfrm>
                      <a:off x="0" y="0"/>
                      <a:ext cx="5438775" cy="3762375"/>
                    </a:xfrm>
                    <a:prstGeom prst="rect">
                      <a:avLst/>
                    </a:prstGeom>
                    <a:noFill/>
                    <a:ln>
                      <a:noFill/>
                    </a:ln>
                  </pic:spPr>
                </pic:pic>
              </a:graphicData>
            </a:graphic>
          </wp:inline>
        </w:drawing>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图 16</w:t>
      </w:r>
    </w:p>
    <w:p>
      <w:pPr>
        <w:pStyle w:val="2"/>
        <w:ind w:left="210" w:right="210"/>
        <w:rPr>
          <w:rFonts w:asciiTheme="minorEastAsia" w:hAnsiTheme="minorEastAsia" w:eastAsiaTheme="minorEastAsia"/>
          <w:szCs w:val="21"/>
        </w:rPr>
      </w:pPr>
      <w:bookmarkStart w:id="24" w:name="page18"/>
      <w:bookmarkEnd w:id="24"/>
      <w:bookmarkStart w:id="25" w:name="_Toc45803172"/>
      <w:r>
        <w:rPr>
          <w:rFonts w:asciiTheme="minorEastAsia" w:hAnsiTheme="minorEastAsia" w:eastAsiaTheme="minorEastAsia"/>
          <w:szCs w:val="21"/>
        </w:rPr>
        <w:t>七</w:t>
      </w:r>
      <w:r>
        <w:rPr>
          <w:rFonts w:hint="eastAsia" w:asciiTheme="minorEastAsia" w:hAnsiTheme="minorEastAsia" w:eastAsiaTheme="minorEastAsia"/>
          <w:szCs w:val="21"/>
        </w:rPr>
        <w:t>、</w:t>
      </w:r>
      <w:r>
        <w:rPr>
          <w:rFonts w:asciiTheme="minorEastAsia" w:hAnsiTheme="minorEastAsia" w:eastAsiaTheme="minorEastAsia"/>
          <w:szCs w:val="21"/>
        </w:rPr>
        <w:t>电力电缆耐压试验方法</w:t>
      </w:r>
      <w:bookmarkEnd w:id="25"/>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w:t>
      </w:r>
      <w:r>
        <w:rPr>
          <w:rFonts w:asciiTheme="minorEastAsia" w:hAnsiTheme="minorEastAsia" w:eastAsiaTheme="minorEastAsia"/>
          <w:szCs w:val="21"/>
        </w:rPr>
        <w:t>将与被测试电缆相连的电气设备全部断开。</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用兆欧表测试电缆各相绝缘参数，测试合格方可进行超低频耐压试验。</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w:t>
      </w:r>
      <w:r>
        <w:rPr>
          <w:rFonts w:asciiTheme="minorEastAsia" w:hAnsiTheme="minorEastAsia" w:eastAsiaTheme="minorEastAsia"/>
          <w:szCs w:val="21"/>
        </w:rPr>
        <w:t>整定试验电压值：Umax=3Uo，其中 Uo 为电缆的额定相电压值。</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例</w:t>
      </w:r>
      <w:r>
        <w:rPr>
          <w:rFonts w:asciiTheme="minorEastAsia" w:hAnsiTheme="minorEastAsia" w:eastAsiaTheme="minorEastAsia"/>
          <w:szCs w:val="21"/>
        </w:rPr>
        <w:t>1：某电缆参数：额定线电压为 10kV、额定相电压 Uo=6kV，所以试验电压整定值为：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Umax=3Uo=18kV</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各种型号橡塑绝缘电力电缆 0.1Hz 超低频试验电压值整定值如</w:t>
      </w:r>
      <w:r>
        <w:rPr>
          <w:rFonts w:hint="eastAsia" w:asciiTheme="minorEastAsia" w:hAnsiTheme="minorEastAsia" w:eastAsiaTheme="minorEastAsia"/>
          <w:szCs w:val="21"/>
        </w:rPr>
        <w:t>图15</w:t>
      </w:r>
      <w:r>
        <w:rPr>
          <w:rFonts w:asciiTheme="minorEastAsia" w:hAnsiTheme="minorEastAsia" w:eastAsiaTheme="minorEastAsia"/>
          <w:szCs w:val="21"/>
        </w:rPr>
        <w:t>。</w:t>
      </w:r>
    </w:p>
    <w:p>
      <w:pPr>
        <w:spacing w:line="360" w:lineRule="auto"/>
        <w:ind w:left="420" w:leftChars="200"/>
        <w:jc w:val="center"/>
        <w:rPr>
          <w:rFonts w:asciiTheme="minorEastAsia" w:hAnsiTheme="minorEastAsia" w:eastAsiaTheme="minorEastAsia"/>
          <w:szCs w:val="21"/>
        </w:rPr>
      </w:pPr>
    </w:p>
    <w:p>
      <w:pPr>
        <w:spacing w:line="360" w:lineRule="auto"/>
        <w:ind w:left="420" w:leftChars="200"/>
        <w:jc w:val="center"/>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124450" cy="3533775"/>
            <wp:effectExtent l="0" t="0" r="0" b="9525"/>
            <wp:docPr id="12" name="图片 3" descr="019_帮助文档_试验如何设置参数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3" descr="019_帮助文档_试验如何设置参数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a:xfrm>
                      <a:off x="0" y="0"/>
                      <a:ext cx="5124450" cy="3533775"/>
                    </a:xfrm>
                    <a:prstGeom prst="rect">
                      <a:avLst/>
                    </a:prstGeom>
                    <a:noFill/>
                    <a:ln>
                      <a:noFill/>
                    </a:ln>
                  </pic:spPr>
                </pic:pic>
              </a:graphicData>
            </a:graphic>
          </wp:inline>
        </w:drawing>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asciiTheme="minorEastAsia" w:hAnsiTheme="minorEastAsia" w:eastAsiaTheme="minorEastAsia"/>
          <w:szCs w:val="21"/>
        </w:rPr>
        <w:t>试验时间：交接试验时试验时间为 60 分钟，预防性试验时间为 15 分钟。</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5、</w:t>
      </w:r>
      <w:r>
        <w:rPr>
          <w:rFonts w:asciiTheme="minorEastAsia" w:hAnsiTheme="minorEastAsia" w:eastAsiaTheme="minorEastAsia"/>
          <w:szCs w:val="21"/>
        </w:rPr>
        <w:t>过流保护整定电流值：</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超低频耐压试验品容性电流（或泄漏电流）的估算方法：</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Io=2πfCU=2×3.14×0.1CU(mA)…………………(公式 1)</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其中：C 为电缆对地电容量，单位为 uF；U 为试验电压有效值，单位为 kV。</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例</w:t>
      </w:r>
      <w:r>
        <w:rPr>
          <w:rFonts w:asciiTheme="minorEastAsia" w:hAnsiTheme="minorEastAsia" w:eastAsiaTheme="minorEastAsia"/>
          <w:szCs w:val="21"/>
        </w:rPr>
        <w:t>2：某型号 10kV(UN=10kV，Uo=8.7kV) 电缆长 4km，单相对地电容 0.21uF/km，0.1Hz 超低频试验电压为 26kV（峰值），则泄漏电流近似为：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xml:space="preserve">Io=2πfCU=2×3.14×0.1CU=0.628×0.21×4×26/ </w:t>
      </w:r>
      <w:r>
        <w:rPr>
          <w:rFonts w:asciiTheme="minorEastAsia" w:hAnsiTheme="minorEastAsia" w:eastAsiaTheme="minorEastAsia"/>
          <w:szCs w:val="21"/>
        </w:rPr>
        <w:drawing>
          <wp:inline distT="0" distB="0" distL="0" distR="0">
            <wp:extent cx="57150" cy="57150"/>
            <wp:effectExtent l="0" t="0" r="0" b="0"/>
            <wp:docPr id="13"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3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57150" cy="57150"/>
                    </a:xfrm>
                    <a:prstGeom prst="rect">
                      <a:avLst/>
                    </a:prstGeom>
                    <a:noFill/>
                    <a:ln>
                      <a:noFill/>
                    </a:ln>
                  </pic:spPr>
                </pic:pic>
              </a:graphicData>
            </a:graphic>
          </wp:inline>
        </w:drawing>
      </w:r>
      <w:r>
        <w:rPr>
          <w:rFonts w:asciiTheme="minorEastAsia" w:hAnsiTheme="minorEastAsia" w:eastAsiaTheme="minorEastAsia"/>
          <w:szCs w:val="21"/>
        </w:rPr>
        <w:drawing>
          <wp:inline distT="0" distB="0" distL="0" distR="0">
            <wp:extent cx="47625" cy="152400"/>
            <wp:effectExtent l="0" t="0" r="9525" b="0"/>
            <wp:docPr id="14"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3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47625" cy="152400"/>
                    </a:xfrm>
                    <a:prstGeom prst="rect">
                      <a:avLst/>
                    </a:prstGeom>
                    <a:noFill/>
                    <a:ln>
                      <a:noFill/>
                    </a:ln>
                  </pic:spPr>
                </pic:pic>
              </a:graphicData>
            </a:graphic>
          </wp:inline>
        </w:drawing>
      </w:r>
      <w:r>
        <w:rPr>
          <w:rFonts w:asciiTheme="minorEastAsia" w:hAnsiTheme="minorEastAsia" w:eastAsiaTheme="minorEastAsia"/>
          <w:szCs w:val="21"/>
        </w:rPr>
        <w:t>2</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mc:AlternateContent>
          <mc:Choice Requires="wps">
            <w:drawing>
              <wp:anchor distT="0" distB="0" distL="114300" distR="114300" simplePos="0" relativeHeight="251671552" behindDoc="1" locked="0" layoutInCell="0" allowOverlap="1">
                <wp:simplePos x="0" y="0"/>
                <wp:positionH relativeFrom="column">
                  <wp:posOffset>3133725</wp:posOffset>
                </wp:positionH>
                <wp:positionV relativeFrom="paragraph">
                  <wp:posOffset>-183515</wp:posOffset>
                </wp:positionV>
                <wp:extent cx="90805" cy="0"/>
                <wp:effectExtent l="0" t="0" r="0" b="0"/>
                <wp:wrapNone/>
                <wp:docPr id="38" name="Shape 38"/>
                <wp:cNvGraphicFramePr/>
                <a:graphic xmlns:a="http://schemas.openxmlformats.org/drawingml/2006/main">
                  <a:graphicData uri="http://schemas.microsoft.com/office/word/2010/wordprocessingShape">
                    <wps:wsp>
                      <wps:cNvCnPr/>
                      <wps:spPr>
                        <a:xfrm>
                          <a:off x="0" y="0"/>
                          <a:ext cx="90805" cy="0"/>
                        </a:xfrm>
                        <a:prstGeom prst="line">
                          <a:avLst/>
                        </a:prstGeom>
                        <a:solidFill>
                          <a:srgbClr val="FFFFFF"/>
                        </a:solidFill>
                        <a:ln w="6350">
                          <a:solidFill>
                            <a:srgbClr val="000000"/>
                          </a:solidFill>
                          <a:miter lim="800000"/>
                        </a:ln>
                        <a:effectLst/>
                      </wps:spPr>
                      <wps:bodyPr/>
                    </wps:wsp>
                  </a:graphicData>
                </a:graphic>
              </wp:anchor>
            </w:drawing>
          </mc:Choice>
          <mc:Fallback>
            <w:pict>
              <v:line id="Shape 38" o:spid="_x0000_s1026" o:spt="20" style="position:absolute;left:0pt;margin-left:246.75pt;margin-top:-14.45pt;height:0pt;width:7.15pt;z-index:-251644928;mso-width-relative:page;mso-height-relative:page;" fillcolor="#FFFFFF" filled="t" stroked="t" coordsize="21600,21600" o:allowincell="f" o:gfxdata="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">
                <v:fill on="t" focussize="0,0"/>
                <v:stroke weight="0.5pt" color="#000000" miterlimit="8" joinstyle="miter"/>
                <v:imagedata o:title=""/>
                <o:lock v:ext="edit" aspectratio="f"/>
              </v:line>
            </w:pict>
          </mc:Fallback>
        </mc:AlternateContent>
      </w:r>
      <w:r>
        <w:rPr>
          <w:rFonts w:asciiTheme="minorEastAsia" w:hAnsiTheme="minorEastAsia" w:eastAsiaTheme="minorEastAsia"/>
          <w:szCs w:val="21"/>
        </w:rPr>
        <w:t>=9.69（mA）</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过流保护整定电流值：</w:t>
      </w:r>
    </w:p>
    <w:p>
      <w:pPr>
        <w:spacing w:line="360" w:lineRule="auto"/>
        <w:ind w:firstLine="735" w:firstLineChars="350"/>
        <w:rPr>
          <w:rFonts w:asciiTheme="minorEastAsia" w:hAnsiTheme="minorEastAsia" w:eastAsiaTheme="minorEastAsia"/>
          <w:szCs w:val="21"/>
        </w:rPr>
      </w:pPr>
      <w:bookmarkStart w:id="26" w:name="page19"/>
      <w:bookmarkEnd w:id="26"/>
      <w:r>
        <w:rPr>
          <w:rFonts w:asciiTheme="minorEastAsia" w:hAnsiTheme="minorEastAsia" w:eastAsiaTheme="minorEastAsia"/>
          <w:szCs w:val="21"/>
        </w:rPr>
        <w:t>I=kIo…………………(公式 2)</w:t>
      </w:r>
    </w:p>
    <w:p>
      <w:pPr>
        <w:spacing w:line="360" w:lineRule="auto"/>
        <w:ind w:firstLine="200"/>
        <w:rPr>
          <w:rFonts w:asciiTheme="minorEastAsia" w:hAnsiTheme="minorEastAsia" w:eastAsiaTheme="minorEastAsia"/>
          <w:szCs w:val="21"/>
        </w:rPr>
      </w:pPr>
      <w:r>
        <w:rPr>
          <w:rFonts w:asciiTheme="minorEastAsia" w:hAnsiTheme="minorEastAsia" w:eastAsiaTheme="minorEastAsia"/>
          <w:szCs w:val="21"/>
        </w:rPr>
        <w:t>其中：k 为过流保护可靠系数，显然 k＞1</w:t>
      </w:r>
    </w:p>
    <w:p>
      <w:pPr>
        <w:spacing w:line="360" w:lineRule="auto"/>
        <w:ind w:firstLine="200"/>
        <w:rPr>
          <w:rFonts w:asciiTheme="minorEastAsia" w:hAnsiTheme="minorEastAsia" w:eastAsiaTheme="minorEastAsia"/>
          <w:szCs w:val="21"/>
        </w:rPr>
      </w:pPr>
      <w:r>
        <w:rPr>
          <w:rFonts w:asciiTheme="minorEastAsia" w:hAnsiTheme="minorEastAsia" w:eastAsiaTheme="minorEastAsia"/>
          <w:szCs w:val="21"/>
        </w:rPr>
        <w:t>k 取 1.5，则过流保护整定电流值可取：14.5mA</w:t>
      </w:r>
    </w:p>
    <w:p>
      <w:pPr>
        <w:spacing w:line="360" w:lineRule="auto"/>
        <w:ind w:firstLine="200"/>
        <w:rPr>
          <w:rFonts w:asciiTheme="minorEastAsia" w:hAnsiTheme="minorEastAsia" w:eastAsiaTheme="minorEastAsia"/>
          <w:szCs w:val="21"/>
        </w:rPr>
      </w:pPr>
      <w:r>
        <w:rPr>
          <w:rFonts w:hint="eastAsia" w:asciiTheme="minorEastAsia" w:hAnsiTheme="minorEastAsia" w:eastAsiaTheme="minorEastAsia"/>
          <w:szCs w:val="21"/>
        </w:rPr>
        <w:t>6、</w:t>
      </w:r>
      <w:r>
        <w:rPr>
          <w:rFonts w:asciiTheme="minorEastAsia" w:hAnsiTheme="minorEastAsia" w:eastAsiaTheme="minorEastAsia"/>
          <w:szCs w:val="21"/>
        </w:rPr>
        <w:t>试验接线：用随机附带的专用连接将试验设备与试验电缆按图 13 所示的方法连接。仔细检查接线正确后合上电源，再次设定好试验频率，时间和电压以及高压侧的过流保护值、过压保护值，然后开始升压试验。</w:t>
      </w:r>
    </w:p>
    <w:p>
      <w:pPr>
        <w:spacing w:line="360" w:lineRule="auto"/>
        <w:ind w:firstLine="200"/>
        <w:rPr>
          <w:rFonts w:asciiTheme="minorEastAsia" w:hAnsiTheme="minorEastAsia" w:eastAsiaTheme="minorEastAsia"/>
          <w:szCs w:val="21"/>
        </w:rPr>
      </w:pPr>
      <w:r>
        <w:rPr>
          <w:rFonts w:asciiTheme="minorEastAsia" w:hAnsiTheme="minorEastAsia" w:eastAsiaTheme="minorEastAsia"/>
          <w:szCs w:val="21"/>
        </w:rPr>
        <w:t>升压过程应密切监视高压回路，监听试品电缆是否有异常响声。升至试验电压时，仪器开始自动记录试验时间、显示试验电压值。</w:t>
      </w:r>
    </w:p>
    <w:p>
      <w:pPr>
        <w:spacing w:line="360" w:lineRule="auto"/>
        <w:ind w:firstLine="200"/>
        <w:jc w:val="center"/>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4743450" cy="3028950"/>
            <wp:effectExtent l="0" t="0" r="0" b="0"/>
            <wp:docPr id="15" name="图片 19" descr="终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9" descr="终版"/>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4743450" cy="3028950"/>
                    </a:xfrm>
                    <a:prstGeom prst="rect">
                      <a:avLst/>
                    </a:prstGeom>
                    <a:noFill/>
                    <a:ln>
                      <a:noFill/>
                    </a:ln>
                  </pic:spPr>
                </pic:pic>
              </a:graphicData>
            </a:graphic>
          </wp:inline>
        </w:drawing>
      </w:r>
    </w:p>
    <w:p>
      <w:pPr>
        <w:spacing w:line="360" w:lineRule="auto"/>
        <w:ind w:firstLine="3570" w:firstLineChars="1700"/>
        <w:rPr>
          <w:rFonts w:asciiTheme="minorEastAsia" w:hAnsiTheme="minorEastAsia" w:eastAsiaTheme="minorEastAsia"/>
          <w:szCs w:val="21"/>
        </w:rPr>
      </w:pPr>
      <w:r>
        <w:rPr>
          <w:rFonts w:hint="eastAsia" w:asciiTheme="minorEastAsia" w:hAnsiTheme="minorEastAsia" w:eastAsiaTheme="minorEastAsia"/>
          <w:szCs w:val="21"/>
        </w:rPr>
        <w:t>两个升压器串联</w:t>
      </w:r>
      <w:r>
        <w:rPr>
          <w:rFonts w:asciiTheme="minorEastAsia" w:hAnsiTheme="minorEastAsia" w:eastAsiaTheme="minorEastAsia"/>
          <w:szCs w:val="21"/>
        </w:rPr>
        <w:t>测试接线图</w:t>
      </w:r>
    </w:p>
    <w:p>
      <w:pPr>
        <w:spacing w:line="360" w:lineRule="auto"/>
        <w:jc w:val="center"/>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4391025" cy="3248025"/>
            <wp:effectExtent l="0" t="0" r="9525" b="9525"/>
            <wp:docPr id="16" name="图片 6"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6" descr="11"/>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a:xfrm>
                      <a:off x="0" y="0"/>
                      <a:ext cx="4391025" cy="3248025"/>
                    </a:xfrm>
                    <a:prstGeom prst="rect">
                      <a:avLst/>
                    </a:prstGeom>
                    <a:noFill/>
                    <a:ln>
                      <a:noFill/>
                    </a:ln>
                  </pic:spPr>
                </pic:pic>
              </a:graphicData>
            </a:graphic>
          </wp:inline>
        </w:drawing>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 xml:space="preserve">                                   图17  单联接线图</w:t>
      </w:r>
    </w:p>
    <w:p>
      <w:pPr>
        <w:spacing w:line="360" w:lineRule="auto"/>
        <w:ind w:firstLine="3570" w:firstLineChars="1700"/>
        <w:rPr>
          <w:rFonts w:asciiTheme="minorEastAsia" w:hAnsiTheme="minorEastAsia" w:eastAsiaTheme="minorEastAsia"/>
          <w:szCs w:val="21"/>
        </w:rPr>
      </w:pPr>
    </w:p>
    <w:p>
      <w:pPr>
        <w:spacing w:line="360" w:lineRule="auto"/>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429250" cy="3381375"/>
            <wp:effectExtent l="0" t="0" r="0" b="9525"/>
            <wp:docPr id="17" name="图片 4" descr="017_帮助文档_试验如何接线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4" descr="017_帮助文档_试验如何接线3"/>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a:xfrm>
                      <a:off x="0" y="0"/>
                      <a:ext cx="5429250" cy="3381375"/>
                    </a:xfrm>
                    <a:prstGeom prst="rect">
                      <a:avLst/>
                    </a:prstGeom>
                    <a:noFill/>
                    <a:ln>
                      <a:noFill/>
                    </a:ln>
                  </pic:spPr>
                </pic:pic>
              </a:graphicData>
            </a:graphic>
          </wp:inline>
        </w:drawing>
      </w:r>
    </w:p>
    <w:p>
      <w:pPr>
        <w:spacing w:line="360" w:lineRule="auto"/>
        <w:ind w:firstLine="200"/>
        <w:rPr>
          <w:rFonts w:asciiTheme="minorEastAsia" w:hAnsiTheme="minorEastAsia" w:eastAsiaTheme="minorEastAsia"/>
          <w:szCs w:val="21"/>
        </w:rPr>
      </w:pPr>
      <w:r>
        <w:rPr>
          <w:rFonts w:hint="eastAsia" w:asciiTheme="minorEastAsia" w:hAnsiTheme="minorEastAsia" w:eastAsiaTheme="minorEastAsia"/>
          <w:szCs w:val="21"/>
        </w:rPr>
        <w:t xml:space="preserve">                             图18 电力电缆的接线图</w:t>
      </w:r>
    </w:p>
    <w:p>
      <w:pPr>
        <w:spacing w:line="360" w:lineRule="auto"/>
        <w:ind w:firstLine="200"/>
        <w:rPr>
          <w:rFonts w:asciiTheme="minorEastAsia" w:hAnsiTheme="minorEastAsia" w:eastAsiaTheme="minorEastAsia"/>
          <w:szCs w:val="21"/>
        </w:rPr>
      </w:pPr>
      <w:r>
        <w:rPr>
          <w:rFonts w:hint="eastAsia" w:asciiTheme="minorEastAsia" w:hAnsiTheme="minorEastAsia" w:eastAsiaTheme="minorEastAsia"/>
          <w:szCs w:val="21"/>
        </w:rPr>
        <w:t>7、</w:t>
      </w:r>
      <w:r>
        <w:rPr>
          <w:rFonts w:asciiTheme="minorEastAsia" w:hAnsiTheme="minorEastAsia" w:eastAsiaTheme="minorEastAsia"/>
          <w:szCs w:val="21"/>
        </w:rPr>
        <w:t>试验时间到后，仪器自动停机。若试验中无破坏性放电发生，则认为通过耐压试验。</w:t>
      </w:r>
    </w:p>
    <w:p>
      <w:pPr>
        <w:spacing w:line="360" w:lineRule="auto"/>
        <w:ind w:firstLine="200"/>
        <w:rPr>
          <w:rFonts w:asciiTheme="minorEastAsia" w:hAnsiTheme="minorEastAsia" w:eastAsiaTheme="minorEastAsia"/>
          <w:szCs w:val="21"/>
        </w:rPr>
      </w:pPr>
      <w:r>
        <w:rPr>
          <w:rFonts w:hint="eastAsia" w:asciiTheme="minorEastAsia" w:hAnsiTheme="minorEastAsia" w:eastAsiaTheme="minorEastAsia"/>
          <w:szCs w:val="21"/>
        </w:rPr>
        <w:t>8、</w:t>
      </w:r>
      <w:r>
        <w:rPr>
          <w:rFonts w:asciiTheme="minorEastAsia" w:hAnsiTheme="minorEastAsia" w:eastAsiaTheme="minorEastAsia"/>
          <w:szCs w:val="21"/>
        </w:rPr>
        <w:t>在升压和耐压过程中，如发现输出波形异常畸变，而且电流异常增大，电压不稳，试品电缆发生异味、烟雾、异常响声或闪烙等现象，应立即停止升压，停机后查明原因。这些现象如果是试品电缆绝缘部分薄弱引起的，则认为耐压试验不合格。如确定是试品电缆由于空气湿度或表面脏污等原因所污等原因所致，应将试品电缆清洁干燥处理后，再进行试验。</w:t>
      </w:r>
    </w:p>
    <w:p>
      <w:pPr>
        <w:spacing w:line="360" w:lineRule="auto"/>
        <w:ind w:firstLine="200"/>
        <w:rPr>
          <w:rFonts w:asciiTheme="minorEastAsia" w:hAnsiTheme="minorEastAsia" w:eastAsiaTheme="minorEastAsia"/>
          <w:szCs w:val="21"/>
        </w:rPr>
      </w:pPr>
      <w:r>
        <w:rPr>
          <w:rFonts w:hint="eastAsia" w:asciiTheme="minorEastAsia" w:hAnsiTheme="minorEastAsia" w:eastAsiaTheme="minorEastAsia"/>
          <w:szCs w:val="21"/>
        </w:rPr>
        <w:t>9、</w:t>
      </w:r>
      <w:r>
        <w:rPr>
          <w:rFonts w:asciiTheme="minorEastAsia" w:hAnsiTheme="minorEastAsia" w:eastAsiaTheme="minorEastAsia"/>
          <w:szCs w:val="21"/>
        </w:rPr>
        <w:t>试验过程中，如果遇到非试品电缆绝缘缺陷使仪器出现过流保护，在查明原因后，应重新进行耐压试验。</w:t>
      </w:r>
    </w:p>
    <w:p>
      <w:pPr>
        <w:pStyle w:val="2"/>
        <w:ind w:left="210" w:right="210"/>
        <w:rPr>
          <w:rFonts w:asciiTheme="minorEastAsia" w:hAnsiTheme="minorEastAsia" w:eastAsiaTheme="minorEastAsia"/>
          <w:szCs w:val="21"/>
        </w:rPr>
      </w:pPr>
      <w:bookmarkStart w:id="27" w:name="_Toc45803173"/>
      <w:r>
        <w:rPr>
          <w:rFonts w:asciiTheme="minorEastAsia" w:hAnsiTheme="minorEastAsia" w:eastAsiaTheme="minorEastAsia"/>
          <w:szCs w:val="21"/>
        </w:rPr>
        <w:t>八</w:t>
      </w:r>
      <w:r>
        <w:rPr>
          <w:rFonts w:hint="eastAsia" w:asciiTheme="minorEastAsia" w:hAnsiTheme="minorEastAsia" w:eastAsiaTheme="minorEastAsia"/>
          <w:szCs w:val="21"/>
        </w:rPr>
        <w:t>、</w:t>
      </w:r>
      <w:r>
        <w:rPr>
          <w:rFonts w:asciiTheme="minorEastAsia" w:hAnsiTheme="minorEastAsia" w:eastAsiaTheme="minorEastAsia"/>
          <w:szCs w:val="21"/>
        </w:rPr>
        <w:t>同步电机耐压试验方法</w:t>
      </w:r>
      <w:bookmarkEnd w:id="27"/>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对同步电机的超低频耐压试验操作方法与以上对电缆的操作方法相似。下面就不同的地方作补充说明。</w:t>
      </w:r>
    </w:p>
    <w:p>
      <w:pPr>
        <w:numPr>
          <w:ilvl w:val="0"/>
          <w:numId w:val="3"/>
        </w:numPr>
        <w:spacing w:line="360" w:lineRule="auto"/>
        <w:ind w:left="0" w:firstLine="420" w:firstLineChars="200"/>
        <w:rPr>
          <w:rFonts w:asciiTheme="minorEastAsia" w:hAnsiTheme="minorEastAsia" w:eastAsiaTheme="minorEastAsia"/>
          <w:szCs w:val="21"/>
        </w:rPr>
      </w:pPr>
      <w:r>
        <w:rPr>
          <w:rFonts w:asciiTheme="minorEastAsia" w:hAnsiTheme="minorEastAsia" w:eastAsiaTheme="minorEastAsia"/>
          <w:szCs w:val="21"/>
        </w:rPr>
        <w:t>在交接、大修、局部更换绕组以及常规试验时，均可进行此项试验。用 0.1Hz 超低频对电机进行耐压试验，对发电机端部绝缘的缺陷比工频耐压试验更有效。其原因是在工频电压下，由于从线棒流出的电容电流在流经绝缘外面的半导体防晕层时造成较大的电</w:t>
      </w:r>
      <w:bookmarkStart w:id="28" w:name="page20"/>
      <w:bookmarkEnd w:id="28"/>
      <w:r>
        <w:rPr>
          <w:rFonts w:asciiTheme="minorEastAsia" w:hAnsiTheme="minorEastAsia" w:eastAsiaTheme="minorEastAsia"/>
          <w:szCs w:val="21"/>
        </w:rPr>
        <w:t>压降，因而使端部的线棒绝缘上承受的电压减小；在超低频情况下，此电容电流大大减小了，半导体防晕层上的压降也大为减小，故端部绝缘上电压较高，便于发现缺陷。</w:t>
      </w:r>
    </w:p>
    <w:p>
      <w:pPr>
        <w:spacing w:line="360" w:lineRule="auto"/>
        <w:ind w:right="340" w:firstLine="420" w:firstLineChars="200"/>
        <w:rPr>
          <w:rFonts w:asciiTheme="minorEastAsia" w:hAnsiTheme="minorEastAsia" w:eastAsiaTheme="minorEastAsia"/>
          <w:szCs w:val="21"/>
        </w:rPr>
      </w:pPr>
      <w:r>
        <w:rPr>
          <w:rFonts w:cs="Calibri" w:asciiTheme="minorEastAsia" w:hAnsiTheme="minorEastAsia" w:eastAsiaTheme="minorEastAsia"/>
          <w:szCs w:val="21"/>
        </w:rPr>
        <w:t>2</w:t>
      </w:r>
      <w:r>
        <w:rPr>
          <w:rFonts w:cs="宋体" w:asciiTheme="minorEastAsia" w:hAnsiTheme="minorEastAsia" w:eastAsiaTheme="minorEastAsia"/>
          <w:szCs w:val="21"/>
        </w:rPr>
        <w:t>、接线方法：试验时应分相进行，给被试相加压，非被试相短接接地。试验接线如</w:t>
      </w:r>
      <w:r>
        <w:rPr>
          <w:rFonts w:hint="eastAsia" w:cs="宋体" w:asciiTheme="minorEastAsia" w:hAnsiTheme="minorEastAsia" w:eastAsiaTheme="minorEastAsia"/>
          <w:szCs w:val="21"/>
        </w:rPr>
        <w:t>下图</w:t>
      </w:r>
      <w:r>
        <w:rPr>
          <w:rFonts w:cs="Calibri" w:asciiTheme="minorEastAsia" w:hAnsiTheme="minorEastAsia" w:eastAsiaTheme="minorEastAsia"/>
          <w:szCs w:val="21"/>
        </w:rPr>
        <w:t xml:space="preserve">14 </w:t>
      </w:r>
      <w:r>
        <w:rPr>
          <w:rFonts w:cs="宋体" w:asciiTheme="minorEastAsia" w:hAnsiTheme="minorEastAsia" w:eastAsiaTheme="minorEastAsia"/>
          <w:szCs w:val="21"/>
        </w:rPr>
        <w:t>所地示。</w:t>
      </w:r>
    </w:p>
    <w:p>
      <w:pPr>
        <w:rPr>
          <w:rFonts w:asciiTheme="minorEastAsia" w:hAnsiTheme="minorEastAsia" w:eastAsiaTheme="minorEastAsia"/>
          <w:szCs w:val="21"/>
        </w:rPr>
      </w:pPr>
      <w:r>
        <w:rPr>
          <w:rFonts w:asciiTheme="minorEastAsia" w:hAnsiTheme="minorEastAsia" w:eastAsiaTheme="minorEastAsia"/>
          <w:szCs w:val="21"/>
        </w:rPr>
        <w:drawing>
          <wp:inline distT="0" distB="0" distL="0" distR="0">
            <wp:extent cx="5295900" cy="3724275"/>
            <wp:effectExtent l="0" t="0" r="0" b="9525"/>
            <wp:docPr id="18" name="图片 24" descr="016_帮助文档_试验如何接线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4" descr="016_帮助文档_试验如何接线2"/>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a:xfrm>
                      <a:off x="0" y="0"/>
                      <a:ext cx="5295900" cy="3724275"/>
                    </a:xfrm>
                    <a:prstGeom prst="rect">
                      <a:avLst/>
                    </a:prstGeom>
                    <a:noFill/>
                    <a:ln>
                      <a:noFill/>
                    </a:ln>
                  </pic:spPr>
                </pic:pic>
              </a:graphicData>
            </a:graphic>
          </wp:inline>
        </w:drawing>
      </w:r>
    </w:p>
    <w:p>
      <w:pPr>
        <w:rPr>
          <w:rFonts w:asciiTheme="minorEastAsia" w:hAnsiTheme="minorEastAsia" w:eastAsiaTheme="minorEastAsia"/>
          <w:szCs w:val="21"/>
        </w:rPr>
      </w:pPr>
    </w:p>
    <w:p>
      <w:pPr>
        <w:rPr>
          <w:rFonts w:asciiTheme="minorEastAsia" w:hAnsiTheme="minorEastAsia" w:eastAsiaTheme="minorEastAsia"/>
          <w:szCs w:val="21"/>
        </w:rPr>
      </w:pPr>
      <w:r>
        <w:rPr>
          <w:rFonts w:hint="eastAsia" w:asciiTheme="minorEastAsia" w:hAnsiTheme="minorEastAsia" w:eastAsiaTheme="minorEastAsia"/>
          <w:szCs w:val="21"/>
        </w:rPr>
        <w:t xml:space="preserve">                            图19  同步电机接线图</w:t>
      </w:r>
    </w:p>
    <w:p>
      <w:pPr>
        <w:spacing w:line="213" w:lineRule="exact"/>
        <w:rPr>
          <w:rFonts w:asciiTheme="minorEastAsia" w:hAnsiTheme="minorEastAsia" w:eastAsiaTheme="minorEastAsia"/>
          <w:szCs w:val="21"/>
        </w:rPr>
      </w:pP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3、按照规程规定，试验电压峰值可按如下公式 3 确定：</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xml:space="preserve">Umax= </w:t>
      </w:r>
      <w:r>
        <w:rPr>
          <w:rFonts w:asciiTheme="minorEastAsia" w:hAnsiTheme="minorEastAsia" w:eastAsiaTheme="minorEastAsia"/>
          <w:szCs w:val="21"/>
        </w:rPr>
        <w:drawing>
          <wp:inline distT="0" distB="0" distL="0" distR="0">
            <wp:extent cx="57150" cy="57150"/>
            <wp:effectExtent l="0" t="0" r="0" b="0"/>
            <wp:docPr id="19"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4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57150" cy="57150"/>
                    </a:xfrm>
                    <a:prstGeom prst="rect">
                      <a:avLst/>
                    </a:prstGeom>
                    <a:noFill/>
                    <a:ln>
                      <a:noFill/>
                    </a:ln>
                  </pic:spPr>
                </pic:pic>
              </a:graphicData>
            </a:graphic>
          </wp:inline>
        </w:drawing>
      </w:r>
      <w:r>
        <w:rPr>
          <w:rFonts w:asciiTheme="minorEastAsia" w:hAnsiTheme="minorEastAsia" w:eastAsiaTheme="minorEastAsia"/>
          <w:szCs w:val="21"/>
        </w:rPr>
        <w:drawing>
          <wp:inline distT="0" distB="0" distL="0" distR="0">
            <wp:extent cx="47625" cy="152400"/>
            <wp:effectExtent l="0" t="0" r="9525" b="0"/>
            <wp:docPr id="20"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4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47625" cy="152400"/>
                    </a:xfrm>
                    <a:prstGeom prst="rect">
                      <a:avLst/>
                    </a:prstGeom>
                    <a:noFill/>
                    <a:ln>
                      <a:noFill/>
                    </a:ln>
                  </pic:spPr>
                </pic:pic>
              </a:graphicData>
            </a:graphic>
          </wp:inline>
        </w:drawing>
      </w:r>
      <w:r>
        <w:rPr>
          <w:rFonts w:asciiTheme="minorEastAsia" w:hAnsiTheme="minorEastAsia" w:eastAsiaTheme="minorEastAsia"/>
          <w:szCs w:val="21"/>
        </w:rPr>
        <w:t>2 βKUo………………………………..（公式3）</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其中 Umax：0.1Hz 试验电压的峰值（kV）；</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β：0.1Hz与50Hz电压的等效系数，按我国规程的要求，β取1.2；</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K：整定系数，通常为 1.3～1.5，一般取 1.5</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Uo：同步电机定子绕组额定电压（kV）</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例如：额定电压为 10.5kV 的同步电机，超低频的试验电压峰值计算方法为：</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 xml:space="preserve">Umax= </w:t>
      </w:r>
      <w:r>
        <w:rPr>
          <w:rFonts w:asciiTheme="minorEastAsia" w:hAnsiTheme="minorEastAsia" w:eastAsiaTheme="minorEastAsia"/>
          <w:szCs w:val="21"/>
        </w:rPr>
        <w:drawing>
          <wp:inline distT="0" distB="0" distL="0" distR="0">
            <wp:extent cx="57150" cy="57150"/>
            <wp:effectExtent l="0" t="0" r="0" b="0"/>
            <wp:docPr id="21"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4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a:xfrm>
                      <a:off x="0" y="0"/>
                      <a:ext cx="57150" cy="57150"/>
                    </a:xfrm>
                    <a:prstGeom prst="rect">
                      <a:avLst/>
                    </a:prstGeom>
                    <a:noFill/>
                    <a:ln>
                      <a:noFill/>
                    </a:ln>
                  </pic:spPr>
                </pic:pic>
              </a:graphicData>
            </a:graphic>
          </wp:inline>
        </w:drawing>
      </w:r>
      <w:r>
        <w:rPr>
          <w:rFonts w:asciiTheme="minorEastAsia" w:hAnsiTheme="minorEastAsia" w:eastAsiaTheme="minorEastAsia"/>
          <w:szCs w:val="21"/>
        </w:rPr>
        <w:drawing>
          <wp:inline distT="0" distB="0" distL="0" distR="0">
            <wp:extent cx="47625" cy="152400"/>
            <wp:effectExtent l="0" t="0" r="9525" b="0"/>
            <wp:docPr id="22"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4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a:xfrm>
                      <a:off x="0" y="0"/>
                      <a:ext cx="47625" cy="152400"/>
                    </a:xfrm>
                    <a:prstGeom prst="rect">
                      <a:avLst/>
                    </a:prstGeom>
                    <a:noFill/>
                    <a:ln>
                      <a:noFill/>
                    </a:ln>
                  </pic:spPr>
                </pic:pic>
              </a:graphicData>
            </a:graphic>
          </wp:inline>
        </w:drawing>
      </w:r>
      <w:r>
        <w:rPr>
          <w:rFonts w:asciiTheme="minorEastAsia" w:hAnsiTheme="minorEastAsia" w:eastAsiaTheme="minorEastAsia"/>
          <w:szCs w:val="21"/>
        </w:rPr>
        <w:t>2 ×1.2×1.5×10.5≈26（kV）</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4、试验时间整定：与工频耐压的试验时间相同，一般为 1min。</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5、过流保护动作电流整定值：整定方法与电缆相同。</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6、在耐压过程中，若无异常声响、气味、冒烟以及数据显示不稳定等现象，可以认为绝缘耐受住了试验的考验。为了更好地了解绝缘情况，应尽可能全面监视绝缘的表面状态，特别是空冷机组。经验指出，外观监视能发现仪表所不能反映的同步电机绝缘不正常现象，如表面电晕、放电。</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注：异步电机的结构与同步电机相比只是没有转子绕组，其试验接线与同步电机类似。</w:t>
      </w:r>
    </w:p>
    <w:p>
      <w:pPr>
        <w:pStyle w:val="2"/>
        <w:ind w:left="210" w:right="210"/>
        <w:rPr>
          <w:rFonts w:asciiTheme="minorEastAsia" w:hAnsiTheme="minorEastAsia" w:eastAsiaTheme="minorEastAsia"/>
          <w:szCs w:val="21"/>
        </w:rPr>
      </w:pPr>
      <w:bookmarkStart w:id="29" w:name="_Toc45803174"/>
      <w:r>
        <w:rPr>
          <w:rFonts w:asciiTheme="minorEastAsia" w:hAnsiTheme="minorEastAsia" w:eastAsiaTheme="minorEastAsia"/>
          <w:szCs w:val="21"/>
        </w:rPr>
        <w:t>九</w:t>
      </w:r>
      <w:r>
        <w:rPr>
          <w:rFonts w:hint="eastAsia" w:asciiTheme="minorEastAsia" w:hAnsiTheme="minorEastAsia" w:eastAsiaTheme="minorEastAsia"/>
          <w:szCs w:val="21"/>
        </w:rPr>
        <w:t>、</w:t>
      </w:r>
      <w:r>
        <w:rPr>
          <w:rFonts w:asciiTheme="minorEastAsia" w:hAnsiTheme="minorEastAsia" w:eastAsiaTheme="minorEastAsia"/>
          <w:szCs w:val="21"/>
        </w:rPr>
        <w:t>注意事项</w:t>
      </w:r>
      <w:bookmarkEnd w:id="29"/>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1、试验时请严格遵守高压试验的安全规范，由专业人员操作；</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2、仪器如有故障，切勿自行拆机修理，应立即与我公司联系；</w:t>
      </w:r>
    </w:p>
    <w:p>
      <w:pPr>
        <w:numPr>
          <w:ilvl w:val="0"/>
          <w:numId w:val="4"/>
        </w:num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关机后应用放电棒对试品进行充分放电，确信放电完毕后，再拆线！</w:t>
      </w:r>
    </w:p>
    <w:p>
      <w:pPr>
        <w:pStyle w:val="2"/>
        <w:ind w:left="210" w:right="210"/>
        <w:rPr>
          <w:rFonts w:cs="宋体" w:asciiTheme="minorEastAsia" w:hAnsiTheme="minorEastAsia" w:eastAsiaTheme="minorEastAsia"/>
          <w:bCs/>
          <w:szCs w:val="21"/>
        </w:rPr>
      </w:pPr>
      <w:bookmarkStart w:id="30" w:name="_Toc45803175"/>
      <w:r>
        <w:rPr>
          <w:rFonts w:cs="宋体" w:asciiTheme="minorEastAsia" w:hAnsiTheme="minorEastAsia" w:eastAsiaTheme="minorEastAsia"/>
          <w:bCs/>
          <w:szCs w:val="21"/>
        </w:rPr>
        <w:t>十</w:t>
      </w:r>
      <w:r>
        <w:rPr>
          <w:rFonts w:hint="eastAsia" w:cs="宋体" w:asciiTheme="minorEastAsia" w:hAnsiTheme="minorEastAsia" w:eastAsiaTheme="minorEastAsia"/>
          <w:bCs/>
          <w:szCs w:val="21"/>
        </w:rPr>
        <w:t>、</w:t>
      </w:r>
      <w:r>
        <w:rPr>
          <w:rFonts w:cs="宋体" w:asciiTheme="minorEastAsia" w:hAnsiTheme="minorEastAsia" w:eastAsiaTheme="minorEastAsia"/>
          <w:bCs/>
          <w:szCs w:val="21"/>
        </w:rPr>
        <w:t>随机附件</w:t>
      </w:r>
      <w:bookmarkEnd w:id="30"/>
    </w:p>
    <w:tbl>
      <w:tblPr>
        <w:tblStyle w:val="20"/>
        <w:tblpPr w:leftFromText="180" w:rightFromText="180" w:vertAnchor="text" w:horzAnchor="margin" w:tblpXSpec="center" w:tblpY="47"/>
        <w:tblW w:w="78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5152"/>
        <w:gridCol w:w="901"/>
        <w:gridCol w:w="9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b/>
                <w:iCs/>
                <w:szCs w:val="21"/>
              </w:rPr>
            </w:pPr>
            <w:r>
              <w:rPr>
                <w:rFonts w:hint="eastAsia" w:asciiTheme="minorEastAsia" w:hAnsiTheme="minorEastAsia" w:eastAsiaTheme="minorEastAsia"/>
                <w:b/>
                <w:iCs/>
                <w:szCs w:val="21"/>
              </w:rPr>
              <w:t>序号</w:t>
            </w:r>
          </w:p>
        </w:tc>
        <w:tc>
          <w:tcPr>
            <w:tcW w:w="5152" w:type="dxa"/>
            <w:shd w:val="clear" w:color="auto" w:fill="auto"/>
            <w:noWrap/>
            <w:vAlign w:val="center"/>
          </w:tcPr>
          <w:p>
            <w:pPr>
              <w:jc w:val="center"/>
              <w:rPr>
                <w:rFonts w:asciiTheme="minorEastAsia" w:hAnsiTheme="minorEastAsia" w:eastAsiaTheme="minorEastAsia"/>
                <w:b/>
                <w:iCs/>
                <w:szCs w:val="21"/>
              </w:rPr>
            </w:pPr>
            <w:r>
              <w:rPr>
                <w:rFonts w:hint="eastAsia" w:asciiTheme="minorEastAsia" w:hAnsiTheme="minorEastAsia" w:eastAsiaTheme="minorEastAsia"/>
                <w:b/>
                <w:iCs/>
                <w:szCs w:val="21"/>
              </w:rPr>
              <w:t>名称</w:t>
            </w:r>
          </w:p>
        </w:tc>
        <w:tc>
          <w:tcPr>
            <w:tcW w:w="901" w:type="dxa"/>
            <w:shd w:val="clear" w:color="auto" w:fill="auto"/>
            <w:noWrap/>
            <w:vAlign w:val="center"/>
          </w:tcPr>
          <w:p>
            <w:pPr>
              <w:jc w:val="center"/>
              <w:rPr>
                <w:rFonts w:asciiTheme="minorEastAsia" w:hAnsiTheme="minorEastAsia" w:eastAsiaTheme="minorEastAsia"/>
                <w:b/>
                <w:iCs/>
                <w:szCs w:val="21"/>
              </w:rPr>
            </w:pPr>
            <w:r>
              <w:rPr>
                <w:rFonts w:hint="eastAsia" w:asciiTheme="minorEastAsia" w:hAnsiTheme="minorEastAsia" w:eastAsiaTheme="minorEastAsia"/>
                <w:b/>
                <w:iCs/>
                <w:szCs w:val="21"/>
              </w:rPr>
              <w:t>数量</w:t>
            </w:r>
          </w:p>
        </w:tc>
        <w:tc>
          <w:tcPr>
            <w:tcW w:w="928" w:type="dxa"/>
            <w:shd w:val="clear" w:color="auto" w:fill="auto"/>
            <w:noWrap/>
            <w:vAlign w:val="center"/>
          </w:tcPr>
          <w:p>
            <w:pPr>
              <w:jc w:val="center"/>
              <w:rPr>
                <w:rFonts w:asciiTheme="minorEastAsia" w:hAnsiTheme="minorEastAsia" w:eastAsiaTheme="minorEastAsia"/>
                <w:b/>
                <w:iCs/>
                <w:szCs w:val="21"/>
              </w:rPr>
            </w:pPr>
            <w:r>
              <w:rPr>
                <w:rFonts w:hint="eastAsia" w:asciiTheme="minorEastAsia" w:hAnsiTheme="minorEastAsia" w:eastAsiaTheme="minorEastAsia"/>
                <w:b/>
                <w:iCs/>
                <w:szCs w:val="21"/>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控制器</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升压器</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3</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高压连接电缆</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专用低压连接电缆</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5</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电源线</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6</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放电棒</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7</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接地线</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8</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补偿电容器</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9</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保险管</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4</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10</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打印纸</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2</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11</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说明书</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12</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装箱清单</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4"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13</w:t>
            </w:r>
          </w:p>
        </w:tc>
        <w:tc>
          <w:tcPr>
            <w:tcW w:w="5152"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实验报告</w:t>
            </w:r>
          </w:p>
        </w:tc>
        <w:tc>
          <w:tcPr>
            <w:tcW w:w="901"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1</w:t>
            </w:r>
          </w:p>
        </w:tc>
        <w:tc>
          <w:tcPr>
            <w:tcW w:w="928" w:type="dxa"/>
            <w:shd w:val="clear" w:color="auto" w:fill="auto"/>
            <w:noWrap/>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份</w:t>
            </w:r>
          </w:p>
        </w:tc>
      </w:tr>
    </w:tbl>
    <w:p>
      <w:pPr>
        <w:rPr>
          <w:rFonts w:asciiTheme="minorEastAsia" w:hAnsiTheme="minorEastAsia" w:eastAsiaTheme="minorEastAsia"/>
          <w:szCs w:val="21"/>
        </w:rPr>
      </w:pPr>
    </w:p>
    <w:p>
      <w:pPr>
        <w:pStyle w:val="2"/>
        <w:tabs>
          <w:tab w:val="left" w:pos="5407"/>
        </w:tabs>
        <w:ind w:left="210" w:right="210"/>
        <w:rPr>
          <w:rFonts w:asciiTheme="minorEastAsia" w:hAnsiTheme="minorEastAsia" w:eastAsiaTheme="minorEastAsia"/>
          <w:szCs w:val="21"/>
        </w:rPr>
      </w:pPr>
      <w:bookmarkStart w:id="31" w:name="page21"/>
      <w:bookmarkEnd w:id="31"/>
      <w:bookmarkStart w:id="32" w:name="page22"/>
      <w:bookmarkEnd w:id="32"/>
      <w:bookmarkStart w:id="33" w:name="_Toc45803176"/>
      <w:r>
        <w:rPr>
          <w:rFonts w:asciiTheme="minorEastAsia" w:hAnsiTheme="minorEastAsia" w:eastAsiaTheme="minorEastAsia"/>
          <w:szCs w:val="21"/>
        </w:rPr>
        <w:t>十一</w:t>
      </w:r>
      <w:r>
        <w:rPr>
          <w:rFonts w:hint="eastAsia" w:asciiTheme="minorEastAsia" w:hAnsiTheme="minorEastAsia" w:eastAsiaTheme="minorEastAsia"/>
          <w:szCs w:val="21"/>
        </w:rPr>
        <w:t>、</w:t>
      </w:r>
      <w:r>
        <w:rPr>
          <w:rFonts w:asciiTheme="minorEastAsia" w:hAnsiTheme="minorEastAsia" w:eastAsiaTheme="minorEastAsia"/>
          <w:szCs w:val="21"/>
        </w:rPr>
        <w:t>运输及保存</w:t>
      </w:r>
      <w:bookmarkEnd w:id="33"/>
      <w:r>
        <w:rPr>
          <w:rFonts w:asciiTheme="minorEastAsia" w:hAnsiTheme="minorEastAsia" w:eastAsiaTheme="minorEastAsia"/>
          <w:szCs w:val="21"/>
        </w:rPr>
        <w:tab/>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（1）运输</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本产品运输时必须进行包装，包装箱可用纸箱或木箱，包装箱内应垫有泡沫防震层。包装好的产品，应能经公路、铁路、航空运输。运输过程中不得置于露天车箱。仓库应注意防雨、防尘、防机械损伤。</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w:t>
      </w:r>
      <w:r>
        <w:rPr>
          <w:rFonts w:asciiTheme="minorEastAsia" w:hAnsiTheme="minorEastAsia" w:eastAsiaTheme="minorEastAsia"/>
          <w:szCs w:val="21"/>
        </w:rPr>
        <w:t>储存</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仪器平时不用时，应储存在环境湿度在-20</w:t>
      </w:r>
      <w:r>
        <w:rPr>
          <w:rFonts w:hint="eastAsia" w:cs="宋体" w:asciiTheme="minorEastAsia" w:hAnsiTheme="minorEastAsia" w:eastAsiaTheme="minorEastAsia"/>
          <w:szCs w:val="21"/>
        </w:rPr>
        <w:t>℃</w:t>
      </w:r>
      <w:r>
        <w:rPr>
          <w:rFonts w:asciiTheme="minorEastAsia" w:hAnsiTheme="minorEastAsia" w:eastAsiaTheme="minorEastAsia"/>
          <w:szCs w:val="21"/>
        </w:rPr>
        <w:t>～+60</w:t>
      </w:r>
      <w:r>
        <w:rPr>
          <w:rFonts w:hint="eastAsia" w:cs="宋体" w:asciiTheme="minorEastAsia" w:hAnsiTheme="minorEastAsia" w:eastAsiaTheme="minorEastAsia"/>
          <w:szCs w:val="21"/>
        </w:rPr>
        <w:t>℃</w:t>
      </w:r>
      <w:r>
        <w:rPr>
          <w:rFonts w:asciiTheme="minorEastAsia" w:hAnsiTheme="minorEastAsia" w:eastAsiaTheme="minorEastAsia"/>
          <w:szCs w:val="21"/>
        </w:rPr>
        <w:t>，相对湿度不超过 85%，通风，无腐蚀性气体的室内。存储时不应紧靠地面和墙壁。</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（3）防潮</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在气候潮湿的地区或潮湿的季节，本仪器如长期不用，要求每月开机通电一次（约二小时），以使潮气散发，保护元器件。</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（4）防曝晒</w:t>
      </w:r>
    </w:p>
    <w:p>
      <w:pPr>
        <w:spacing w:line="360" w:lineRule="auto"/>
        <w:ind w:firstLine="420" w:firstLineChars="200"/>
        <w:rPr>
          <w:rFonts w:asciiTheme="minorEastAsia" w:hAnsiTheme="minorEastAsia" w:eastAsiaTheme="minorEastAsia"/>
          <w:szCs w:val="21"/>
        </w:rPr>
      </w:pPr>
      <w:r>
        <w:rPr>
          <w:rFonts w:asciiTheme="minorEastAsia" w:hAnsiTheme="minorEastAsia" w:eastAsiaTheme="minorEastAsia"/>
          <w:szCs w:val="21"/>
        </w:rPr>
        <w:t>仪器在室外使用时，尽可能避免或减少阳光的直接曝晒。仪器在室外使用时，尽可能避免或减少阳光的直接曝晒。</w:t>
      </w:r>
    </w:p>
    <w:p>
      <w:pPr>
        <w:spacing w:before="120" w:beforeLines="50" w:after="120" w:afterLines="50" w:line="400" w:lineRule="exact"/>
        <w:outlineLvl w:val="0"/>
        <w:rPr>
          <w:rFonts w:asciiTheme="minorEastAsia" w:hAnsiTheme="minorEastAsia" w:eastAsiaTheme="minorEastAsia"/>
          <w:szCs w:val="21"/>
        </w:rPr>
      </w:pPr>
      <w:bookmarkStart w:id="34" w:name="_Toc45803177"/>
      <w:r>
        <w:rPr>
          <w:rFonts w:hint="eastAsia" w:asciiTheme="minorEastAsia" w:hAnsiTheme="minorEastAsia" w:eastAsiaTheme="minorEastAsia"/>
          <w:szCs w:val="21"/>
        </w:rPr>
        <w:t>十二、</w:t>
      </w:r>
      <w:r>
        <w:rPr>
          <w:rFonts w:hint="eastAsia" w:asciiTheme="minorEastAsia" w:hAnsiTheme="minorEastAsia" w:eastAsiaTheme="minorEastAsia"/>
          <w:b/>
          <w:szCs w:val="21"/>
        </w:rPr>
        <w:t>质量保证</w:t>
      </w:r>
      <w:bookmarkEnd w:id="8"/>
      <w:bookmarkEnd w:id="34"/>
    </w:p>
    <w:p>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1</w:t>
      </w:r>
      <w:r>
        <w:rPr>
          <w:rFonts w:hint="eastAsia" w:asciiTheme="minorEastAsia" w:hAnsiTheme="minorEastAsia" w:eastAsiaTheme="minorEastAsia"/>
          <w:szCs w:val="21"/>
        </w:rPr>
        <w:t>）本仪器严格按照国家标准和企业标准制造，每一台仪器都经过严格的出厂检验。</w:t>
      </w:r>
    </w:p>
    <w:p>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2</w:t>
      </w:r>
      <w:r>
        <w:rPr>
          <w:rFonts w:hint="eastAsia" w:asciiTheme="minorEastAsia" w:hAnsiTheme="minorEastAsia" w:eastAsiaTheme="minorEastAsia"/>
          <w:szCs w:val="21"/>
        </w:rPr>
        <w:t>）本仪器享有一年的保修期，在此期间由于制造上的原因而使质量低于特性要求的本公司将免费予以保修。</w:t>
      </w:r>
    </w:p>
    <w:p>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3</w:t>
      </w:r>
      <w:r>
        <w:rPr>
          <w:rFonts w:hint="eastAsia" w:asciiTheme="minorEastAsia" w:hAnsiTheme="minorEastAsia" w:eastAsiaTheme="minorEastAsia"/>
          <w:szCs w:val="21"/>
        </w:rPr>
        <w:t>）在仪器使用寿命内，本公司将终身提供仪器的维护、使用培训、软件升级等相关服务。</w:t>
      </w:r>
    </w:p>
    <w:p>
      <w:pPr>
        <w:spacing w:line="400" w:lineRule="exact"/>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4</w:t>
      </w:r>
      <w:r>
        <w:rPr>
          <w:rFonts w:hint="eastAsia" w:asciiTheme="minorEastAsia" w:hAnsiTheme="minorEastAsia" w:eastAsiaTheme="minorEastAsia"/>
          <w:szCs w:val="21"/>
        </w:rPr>
        <w:t>）如果在使用中发现问题，请及时与本公司联系，我们将根据情况采取最便捷的方式进行服务。</w:t>
      </w:r>
    </w:p>
    <w:p>
      <w:pPr>
        <w:spacing w:before="120" w:beforeLines="50" w:after="120" w:afterLines="50" w:line="360" w:lineRule="auto"/>
        <w:rPr>
          <w:rFonts w:asciiTheme="minorEastAsia" w:hAnsiTheme="minorEastAsia" w:eastAsiaTheme="minorEastAsia"/>
          <w:szCs w:val="21"/>
        </w:rPr>
      </w:pPr>
    </w:p>
    <w:bookmarkEnd w:id="3"/>
    <w:bookmarkEnd w:id="4"/>
    <w:bookmarkEnd w:id="5"/>
    <w:bookmarkEnd w:id="6"/>
    <w:p>
      <w:pPr>
        <w:spacing w:line="360" w:lineRule="exact"/>
        <w:ind w:right="-94" w:rightChars="-45"/>
      </w:pPr>
    </w:p>
    <w:sectPr>
      <w:footerReference r:id="rId5" w:type="first"/>
      <w:headerReference r:id="rId3" w:type="default"/>
      <w:footerReference r:id="rId4" w:type="default"/>
      <w:pgSz w:w="11907" w:h="16840"/>
      <w:pgMar w:top="1702" w:right="1559" w:bottom="1134" w:left="1701" w:header="1474" w:footer="992" w:gutter="0"/>
      <w:pgNumType w:fmt="numberInDash" w:start="0"/>
      <w:cols w:space="720" w:num="1"/>
      <w:docGrid w:linePitch="29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Arial Black">
    <w:panose1 w:val="020B0A04020102020204"/>
    <w:charset w:val="00"/>
    <w:family w:val="swiss"/>
    <w:pitch w:val="default"/>
    <w:sig w:usb0="A00002AF" w:usb1="400078FB" w:usb2="00000000" w:usb3="00000000" w:csb0="6000009F" w:csb1="DFD70000"/>
  </w:font>
  <w:font w:name="幼圆">
    <w:panose1 w:val="0201050906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 PAGE   \* MERGEFORMAT </w:instrText>
    </w:r>
    <w:r>
      <w:fldChar w:fldCharType="separate"/>
    </w:r>
    <w:r>
      <w:rPr>
        <w:lang w:val="zh-CN"/>
      </w:rPr>
      <w:t>-</w:t>
    </w:r>
    <w:r>
      <w:t xml:space="preserve"> 1 -</w:t>
    </w:r>
    <w:r>
      <w:fldChar w:fldCharType="end"/>
    </w:r>
  </w:p>
  <w:p>
    <w:pPr>
      <w:pStyle w:val="12"/>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pPr>
    <w:r>
      <w:fldChar w:fldCharType="begin"/>
    </w:r>
    <w:r>
      <w:instrText xml:space="preserve"> PAGE   \* MERGEFORMAT </w:instrText>
    </w:r>
    <w:r>
      <w:fldChar w:fldCharType="separate"/>
    </w:r>
    <w:r>
      <w:rPr>
        <w:lang w:val="zh-CN"/>
      </w:rPr>
      <w:t>-</w:t>
    </w:r>
    <w:r>
      <w:t xml:space="preserve"> 0 -</w:t>
    </w:r>
    <w:r>
      <w:fldChar w:fldCharType="end"/>
    </w:r>
  </w:p>
  <w:p>
    <w:pPr>
      <w:pStyle w:val="1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Bdr>
        <w:bottom w:val="double" w:color="auto" w:sz="8" w:space="1"/>
      </w:pBdr>
      <w:ind w:right="360"/>
      <w:jc w:val="both"/>
      <w:rPr>
        <w:rFonts w:hint="default" w:eastAsia="宋体"/>
        <w:lang w:val="en-US" w:eastAsia="zh-CN"/>
      </w:rPr>
    </w:pPr>
    <w:r>
      <w:rPr>
        <w:rFonts w:hint="eastAsia"/>
        <w:sz w:val="21"/>
        <w:szCs w:val="21"/>
        <w:lang w:val="en-US" w:eastAsia="zh-CN"/>
      </w:rPr>
      <w:t>LND-80/1.1  0.1Hz超低频高压发生器                    武汉绿能德精测科技有限公司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1C4D83"/>
    <w:multiLevelType w:val="singleLevel"/>
    <w:tmpl w:val="951C4D83"/>
    <w:lvl w:ilvl="0" w:tentative="0">
      <w:start w:val="3"/>
      <w:numFmt w:val="decimal"/>
      <w:suff w:val="nothing"/>
      <w:lvlText w:val="%1、"/>
      <w:lvlJc w:val="left"/>
    </w:lvl>
  </w:abstractNum>
  <w:abstractNum w:abstractNumId="1">
    <w:nsid w:val="00001547"/>
    <w:multiLevelType w:val="singleLevel"/>
    <w:tmpl w:val="00001547"/>
    <w:lvl w:ilvl="0" w:tentative="0">
      <w:start w:val="12"/>
      <w:numFmt w:val="decimal"/>
      <w:lvlText w:val="%1."/>
      <w:lvlJc w:val="left"/>
    </w:lvl>
  </w:abstractNum>
  <w:abstractNum w:abstractNumId="2">
    <w:nsid w:val="3051024E"/>
    <w:multiLevelType w:val="singleLevel"/>
    <w:tmpl w:val="3051024E"/>
    <w:lvl w:ilvl="0" w:tentative="0">
      <w:start w:val="2"/>
      <w:numFmt w:val="decimal"/>
      <w:suff w:val="nothing"/>
      <w:lvlText w:val="（%1）"/>
      <w:lvlJc w:val="left"/>
    </w:lvl>
  </w:abstractNum>
  <w:abstractNum w:abstractNumId="3">
    <w:nsid w:val="5FDE1151"/>
    <w:multiLevelType w:val="multilevel"/>
    <w:tmpl w:val="5FDE1151"/>
    <w:lvl w:ilvl="0" w:tentative="0">
      <w:start w:val="1"/>
      <w:numFmt w:val="decimal"/>
      <w:lvlText w:val="%1、"/>
      <w:lvlJc w:val="left"/>
      <w:pPr>
        <w:ind w:left="800" w:hanging="360"/>
      </w:pPr>
      <w:rPr>
        <w:rFonts w:hint="default"/>
      </w:rPr>
    </w:lvl>
    <w:lvl w:ilvl="1" w:tentative="0">
      <w:start w:val="1"/>
      <w:numFmt w:val="lowerLetter"/>
      <w:lvlText w:val="%2)"/>
      <w:lvlJc w:val="left"/>
      <w:pPr>
        <w:ind w:left="1280" w:hanging="420"/>
      </w:pPr>
    </w:lvl>
    <w:lvl w:ilvl="2" w:tentative="0">
      <w:start w:val="1"/>
      <w:numFmt w:val="lowerRoman"/>
      <w:lvlText w:val="%3."/>
      <w:lvlJc w:val="right"/>
      <w:pPr>
        <w:ind w:left="1700" w:hanging="420"/>
      </w:pPr>
    </w:lvl>
    <w:lvl w:ilvl="3" w:tentative="0">
      <w:start w:val="1"/>
      <w:numFmt w:val="decimal"/>
      <w:lvlText w:val="%4."/>
      <w:lvlJc w:val="left"/>
      <w:pPr>
        <w:ind w:left="2120" w:hanging="420"/>
      </w:pPr>
    </w:lvl>
    <w:lvl w:ilvl="4" w:tentative="0">
      <w:start w:val="1"/>
      <w:numFmt w:val="lowerLetter"/>
      <w:lvlText w:val="%5)"/>
      <w:lvlJc w:val="left"/>
      <w:pPr>
        <w:ind w:left="2540" w:hanging="420"/>
      </w:pPr>
    </w:lvl>
    <w:lvl w:ilvl="5" w:tentative="0">
      <w:start w:val="1"/>
      <w:numFmt w:val="lowerRoman"/>
      <w:lvlText w:val="%6."/>
      <w:lvlJc w:val="right"/>
      <w:pPr>
        <w:ind w:left="2960" w:hanging="420"/>
      </w:pPr>
    </w:lvl>
    <w:lvl w:ilvl="6" w:tentative="0">
      <w:start w:val="1"/>
      <w:numFmt w:val="decimal"/>
      <w:lvlText w:val="%7."/>
      <w:lvlJc w:val="left"/>
      <w:pPr>
        <w:ind w:left="3380" w:hanging="420"/>
      </w:pPr>
    </w:lvl>
    <w:lvl w:ilvl="7" w:tentative="0">
      <w:start w:val="1"/>
      <w:numFmt w:val="lowerLetter"/>
      <w:lvlText w:val="%8)"/>
      <w:lvlJc w:val="left"/>
      <w:pPr>
        <w:ind w:left="3800" w:hanging="420"/>
      </w:pPr>
    </w:lvl>
    <w:lvl w:ilvl="8" w:tentative="0">
      <w:start w:val="1"/>
      <w:numFmt w:val="lowerRoman"/>
      <w:lvlText w:val="%9."/>
      <w:lvlJc w:val="right"/>
      <w:pPr>
        <w:ind w:left="4220" w:hanging="420"/>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2"/>
  <w:bordersDoNotSurroundHeader w:val="1"/>
  <w:bordersDoNotSurroundFooter w:val="1"/>
  <w:attachedTemplate r:id="rId1"/>
  <w:documentProtection w:enforcement="0"/>
  <w:defaultTabStop w:val="425"/>
  <w:drawingGridHorizontalSpacing w:val="105"/>
  <w:drawingGridVerticalSpacing w:val="147"/>
  <w:displayHorizontalDrawingGridEvery w:val="0"/>
  <w:displayVerticalDrawingGridEvery w:val="2"/>
  <w:characterSpacingControl w:val="compressPunctuation"/>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yY2U2Y2UzYWVmOGU5YmM4Zjk0OGE5YTA5NzNlNGIifQ=="/>
  </w:docVars>
  <w:rsids>
    <w:rsidRoot w:val="00C055ED"/>
    <w:rsid w:val="00000281"/>
    <w:rsid w:val="00000A31"/>
    <w:rsid w:val="000012FE"/>
    <w:rsid w:val="00003A8F"/>
    <w:rsid w:val="00003EF6"/>
    <w:rsid w:val="00004F27"/>
    <w:rsid w:val="00005FD2"/>
    <w:rsid w:val="00006BB2"/>
    <w:rsid w:val="00010412"/>
    <w:rsid w:val="000105EB"/>
    <w:rsid w:val="00010941"/>
    <w:rsid w:val="00011EBE"/>
    <w:rsid w:val="00012AC4"/>
    <w:rsid w:val="00014A19"/>
    <w:rsid w:val="0001563E"/>
    <w:rsid w:val="0001704A"/>
    <w:rsid w:val="00022D1D"/>
    <w:rsid w:val="000232D3"/>
    <w:rsid w:val="00024559"/>
    <w:rsid w:val="0002664F"/>
    <w:rsid w:val="0002676F"/>
    <w:rsid w:val="00026B89"/>
    <w:rsid w:val="00030E24"/>
    <w:rsid w:val="0003137B"/>
    <w:rsid w:val="000327D2"/>
    <w:rsid w:val="00032882"/>
    <w:rsid w:val="000350CE"/>
    <w:rsid w:val="000371FF"/>
    <w:rsid w:val="0003773C"/>
    <w:rsid w:val="00037C5B"/>
    <w:rsid w:val="000413FC"/>
    <w:rsid w:val="000435BA"/>
    <w:rsid w:val="00043ED4"/>
    <w:rsid w:val="00044C42"/>
    <w:rsid w:val="0004541D"/>
    <w:rsid w:val="00047E4E"/>
    <w:rsid w:val="0005073F"/>
    <w:rsid w:val="000530BC"/>
    <w:rsid w:val="00054D47"/>
    <w:rsid w:val="00055428"/>
    <w:rsid w:val="00055523"/>
    <w:rsid w:val="00056908"/>
    <w:rsid w:val="00056BB8"/>
    <w:rsid w:val="00056EC1"/>
    <w:rsid w:val="00057363"/>
    <w:rsid w:val="00060C66"/>
    <w:rsid w:val="0006106A"/>
    <w:rsid w:val="00061EF0"/>
    <w:rsid w:val="00062992"/>
    <w:rsid w:val="00064135"/>
    <w:rsid w:val="0006487B"/>
    <w:rsid w:val="00065188"/>
    <w:rsid w:val="0006543B"/>
    <w:rsid w:val="00066D79"/>
    <w:rsid w:val="00067650"/>
    <w:rsid w:val="0007209F"/>
    <w:rsid w:val="00072181"/>
    <w:rsid w:val="00072ADD"/>
    <w:rsid w:val="00072FB3"/>
    <w:rsid w:val="00074B2B"/>
    <w:rsid w:val="000750A9"/>
    <w:rsid w:val="000800B2"/>
    <w:rsid w:val="00080DC3"/>
    <w:rsid w:val="000819B8"/>
    <w:rsid w:val="000823D0"/>
    <w:rsid w:val="00083204"/>
    <w:rsid w:val="000847EC"/>
    <w:rsid w:val="00084EA3"/>
    <w:rsid w:val="00085AA4"/>
    <w:rsid w:val="00085C7D"/>
    <w:rsid w:val="00087383"/>
    <w:rsid w:val="00090411"/>
    <w:rsid w:val="0009436B"/>
    <w:rsid w:val="000949DE"/>
    <w:rsid w:val="00094E89"/>
    <w:rsid w:val="0009722D"/>
    <w:rsid w:val="000A098F"/>
    <w:rsid w:val="000A128A"/>
    <w:rsid w:val="000A3604"/>
    <w:rsid w:val="000A50E2"/>
    <w:rsid w:val="000A7747"/>
    <w:rsid w:val="000B16AF"/>
    <w:rsid w:val="000B4A1A"/>
    <w:rsid w:val="000B5A21"/>
    <w:rsid w:val="000B6529"/>
    <w:rsid w:val="000C1C88"/>
    <w:rsid w:val="000C429A"/>
    <w:rsid w:val="000C47A9"/>
    <w:rsid w:val="000C4819"/>
    <w:rsid w:val="000D1B92"/>
    <w:rsid w:val="000D28ED"/>
    <w:rsid w:val="000D290F"/>
    <w:rsid w:val="000D293C"/>
    <w:rsid w:val="000D2FD2"/>
    <w:rsid w:val="000D3ED4"/>
    <w:rsid w:val="000D489C"/>
    <w:rsid w:val="000D5B4E"/>
    <w:rsid w:val="000D7F59"/>
    <w:rsid w:val="000E0CC5"/>
    <w:rsid w:val="000E1A98"/>
    <w:rsid w:val="000E30D3"/>
    <w:rsid w:val="000E3552"/>
    <w:rsid w:val="000E398C"/>
    <w:rsid w:val="000E4C51"/>
    <w:rsid w:val="000F1C7D"/>
    <w:rsid w:val="000F28AD"/>
    <w:rsid w:val="000F2D50"/>
    <w:rsid w:val="000F3498"/>
    <w:rsid w:val="000F64F2"/>
    <w:rsid w:val="0010267A"/>
    <w:rsid w:val="00102A1A"/>
    <w:rsid w:val="0010379F"/>
    <w:rsid w:val="001069DE"/>
    <w:rsid w:val="00111539"/>
    <w:rsid w:val="0011180E"/>
    <w:rsid w:val="00112159"/>
    <w:rsid w:val="00112BFE"/>
    <w:rsid w:val="001137B5"/>
    <w:rsid w:val="001148C0"/>
    <w:rsid w:val="00116C77"/>
    <w:rsid w:val="001207A8"/>
    <w:rsid w:val="001250F2"/>
    <w:rsid w:val="0012545D"/>
    <w:rsid w:val="00125AA0"/>
    <w:rsid w:val="00127997"/>
    <w:rsid w:val="00130CA6"/>
    <w:rsid w:val="0013123D"/>
    <w:rsid w:val="0013129E"/>
    <w:rsid w:val="00132181"/>
    <w:rsid w:val="0013337C"/>
    <w:rsid w:val="00133C86"/>
    <w:rsid w:val="001350CF"/>
    <w:rsid w:val="0013662A"/>
    <w:rsid w:val="0014486C"/>
    <w:rsid w:val="001449AD"/>
    <w:rsid w:val="00144A3E"/>
    <w:rsid w:val="00144B7F"/>
    <w:rsid w:val="00145530"/>
    <w:rsid w:val="00146CFC"/>
    <w:rsid w:val="0014740C"/>
    <w:rsid w:val="0015024A"/>
    <w:rsid w:val="00153597"/>
    <w:rsid w:val="00153CBD"/>
    <w:rsid w:val="00155841"/>
    <w:rsid w:val="00157DA2"/>
    <w:rsid w:val="00161098"/>
    <w:rsid w:val="001610E1"/>
    <w:rsid w:val="00163653"/>
    <w:rsid w:val="00163EF5"/>
    <w:rsid w:val="00164027"/>
    <w:rsid w:val="00164DA4"/>
    <w:rsid w:val="0016637C"/>
    <w:rsid w:val="00166DDF"/>
    <w:rsid w:val="00171A40"/>
    <w:rsid w:val="001754FE"/>
    <w:rsid w:val="0017602D"/>
    <w:rsid w:val="00177DDA"/>
    <w:rsid w:val="00180472"/>
    <w:rsid w:val="00181068"/>
    <w:rsid w:val="00181A79"/>
    <w:rsid w:val="00182BF9"/>
    <w:rsid w:val="00184863"/>
    <w:rsid w:val="0018594B"/>
    <w:rsid w:val="00190882"/>
    <w:rsid w:val="00192075"/>
    <w:rsid w:val="00192135"/>
    <w:rsid w:val="00192DE2"/>
    <w:rsid w:val="001A11EE"/>
    <w:rsid w:val="001A17E0"/>
    <w:rsid w:val="001A18A7"/>
    <w:rsid w:val="001A2BF1"/>
    <w:rsid w:val="001A4614"/>
    <w:rsid w:val="001A4696"/>
    <w:rsid w:val="001A66F0"/>
    <w:rsid w:val="001A73FE"/>
    <w:rsid w:val="001B0D48"/>
    <w:rsid w:val="001B1C36"/>
    <w:rsid w:val="001B25CD"/>
    <w:rsid w:val="001B342D"/>
    <w:rsid w:val="001B38EF"/>
    <w:rsid w:val="001B6C3E"/>
    <w:rsid w:val="001C22D3"/>
    <w:rsid w:val="001C435F"/>
    <w:rsid w:val="001C440C"/>
    <w:rsid w:val="001C48F6"/>
    <w:rsid w:val="001C535C"/>
    <w:rsid w:val="001C5C32"/>
    <w:rsid w:val="001D09B4"/>
    <w:rsid w:val="001D0BF8"/>
    <w:rsid w:val="001D23E9"/>
    <w:rsid w:val="001D2C80"/>
    <w:rsid w:val="001D3089"/>
    <w:rsid w:val="001D3F76"/>
    <w:rsid w:val="001D57DC"/>
    <w:rsid w:val="001D5B58"/>
    <w:rsid w:val="001E001D"/>
    <w:rsid w:val="001E1759"/>
    <w:rsid w:val="001E1964"/>
    <w:rsid w:val="001E1D96"/>
    <w:rsid w:val="001E6880"/>
    <w:rsid w:val="001E6FDE"/>
    <w:rsid w:val="001E7C03"/>
    <w:rsid w:val="001F0976"/>
    <w:rsid w:val="001F0C44"/>
    <w:rsid w:val="001F361F"/>
    <w:rsid w:val="001F3782"/>
    <w:rsid w:val="001F4571"/>
    <w:rsid w:val="001F48E5"/>
    <w:rsid w:val="001F5292"/>
    <w:rsid w:val="001F537B"/>
    <w:rsid w:val="001F65A2"/>
    <w:rsid w:val="001F7556"/>
    <w:rsid w:val="00201251"/>
    <w:rsid w:val="00201305"/>
    <w:rsid w:val="00201D03"/>
    <w:rsid w:val="00201F62"/>
    <w:rsid w:val="00203026"/>
    <w:rsid w:val="002053DA"/>
    <w:rsid w:val="00210135"/>
    <w:rsid w:val="00211023"/>
    <w:rsid w:val="00212504"/>
    <w:rsid w:val="002146ED"/>
    <w:rsid w:val="00214DB6"/>
    <w:rsid w:val="00216526"/>
    <w:rsid w:val="0021728E"/>
    <w:rsid w:val="002173A6"/>
    <w:rsid w:val="002179EB"/>
    <w:rsid w:val="00217CA3"/>
    <w:rsid w:val="0022187E"/>
    <w:rsid w:val="00221B7A"/>
    <w:rsid w:val="00222645"/>
    <w:rsid w:val="002315F4"/>
    <w:rsid w:val="00231639"/>
    <w:rsid w:val="00232BAC"/>
    <w:rsid w:val="00233B40"/>
    <w:rsid w:val="00233B5C"/>
    <w:rsid w:val="00234676"/>
    <w:rsid w:val="002349E8"/>
    <w:rsid w:val="002352DC"/>
    <w:rsid w:val="00235427"/>
    <w:rsid w:val="0023624A"/>
    <w:rsid w:val="002375D1"/>
    <w:rsid w:val="002376CC"/>
    <w:rsid w:val="002422BD"/>
    <w:rsid w:val="0024323C"/>
    <w:rsid w:val="00243AE8"/>
    <w:rsid w:val="00246C45"/>
    <w:rsid w:val="00253E66"/>
    <w:rsid w:val="00255CE5"/>
    <w:rsid w:val="00260661"/>
    <w:rsid w:val="002610C0"/>
    <w:rsid w:val="0026155D"/>
    <w:rsid w:val="00262875"/>
    <w:rsid w:val="0026633B"/>
    <w:rsid w:val="00267F8E"/>
    <w:rsid w:val="00277BB9"/>
    <w:rsid w:val="00281905"/>
    <w:rsid w:val="002825F3"/>
    <w:rsid w:val="00283A26"/>
    <w:rsid w:val="002841F2"/>
    <w:rsid w:val="00284201"/>
    <w:rsid w:val="00285637"/>
    <w:rsid w:val="002871DD"/>
    <w:rsid w:val="0029172B"/>
    <w:rsid w:val="00293FFC"/>
    <w:rsid w:val="00294694"/>
    <w:rsid w:val="00294A26"/>
    <w:rsid w:val="00297064"/>
    <w:rsid w:val="002A1B0D"/>
    <w:rsid w:val="002A31C2"/>
    <w:rsid w:val="002A4C5E"/>
    <w:rsid w:val="002A4CE5"/>
    <w:rsid w:val="002A4CE8"/>
    <w:rsid w:val="002A54E2"/>
    <w:rsid w:val="002A6E53"/>
    <w:rsid w:val="002A7237"/>
    <w:rsid w:val="002A78B8"/>
    <w:rsid w:val="002B1A2E"/>
    <w:rsid w:val="002B2903"/>
    <w:rsid w:val="002B4147"/>
    <w:rsid w:val="002B436E"/>
    <w:rsid w:val="002B4510"/>
    <w:rsid w:val="002B67C9"/>
    <w:rsid w:val="002B7130"/>
    <w:rsid w:val="002C0405"/>
    <w:rsid w:val="002C13C9"/>
    <w:rsid w:val="002C398C"/>
    <w:rsid w:val="002C43F8"/>
    <w:rsid w:val="002C5330"/>
    <w:rsid w:val="002C5956"/>
    <w:rsid w:val="002C6BF5"/>
    <w:rsid w:val="002C6DFF"/>
    <w:rsid w:val="002C7F8F"/>
    <w:rsid w:val="002D1DA3"/>
    <w:rsid w:val="002D231D"/>
    <w:rsid w:val="002D2648"/>
    <w:rsid w:val="002D33AC"/>
    <w:rsid w:val="002D3B95"/>
    <w:rsid w:val="002D4F67"/>
    <w:rsid w:val="002D52E4"/>
    <w:rsid w:val="002D5514"/>
    <w:rsid w:val="002D734C"/>
    <w:rsid w:val="002D7C0C"/>
    <w:rsid w:val="002E0602"/>
    <w:rsid w:val="002E157B"/>
    <w:rsid w:val="002E2310"/>
    <w:rsid w:val="002E2BF6"/>
    <w:rsid w:val="002E2C54"/>
    <w:rsid w:val="002E4A62"/>
    <w:rsid w:val="002E4E9C"/>
    <w:rsid w:val="002E5FD1"/>
    <w:rsid w:val="002E76E2"/>
    <w:rsid w:val="002F1246"/>
    <w:rsid w:val="002F15A5"/>
    <w:rsid w:val="002F17FD"/>
    <w:rsid w:val="002F19A5"/>
    <w:rsid w:val="002F287D"/>
    <w:rsid w:val="002F32CC"/>
    <w:rsid w:val="002F4DAA"/>
    <w:rsid w:val="002F4F83"/>
    <w:rsid w:val="002F5765"/>
    <w:rsid w:val="00303138"/>
    <w:rsid w:val="00304629"/>
    <w:rsid w:val="00305671"/>
    <w:rsid w:val="00310062"/>
    <w:rsid w:val="00312606"/>
    <w:rsid w:val="003130B7"/>
    <w:rsid w:val="003155B2"/>
    <w:rsid w:val="00315734"/>
    <w:rsid w:val="00317B6C"/>
    <w:rsid w:val="00320276"/>
    <w:rsid w:val="00320B70"/>
    <w:rsid w:val="00327FF3"/>
    <w:rsid w:val="00330EEB"/>
    <w:rsid w:val="00331DD1"/>
    <w:rsid w:val="00332CB1"/>
    <w:rsid w:val="003339A6"/>
    <w:rsid w:val="003356D3"/>
    <w:rsid w:val="00336E34"/>
    <w:rsid w:val="00341186"/>
    <w:rsid w:val="00341A46"/>
    <w:rsid w:val="00343FCB"/>
    <w:rsid w:val="003441B6"/>
    <w:rsid w:val="00345FF8"/>
    <w:rsid w:val="0034668C"/>
    <w:rsid w:val="00346A55"/>
    <w:rsid w:val="00347565"/>
    <w:rsid w:val="0035190B"/>
    <w:rsid w:val="00351C06"/>
    <w:rsid w:val="00353F6C"/>
    <w:rsid w:val="003550AA"/>
    <w:rsid w:val="0035698A"/>
    <w:rsid w:val="003617DC"/>
    <w:rsid w:val="0036230F"/>
    <w:rsid w:val="00373725"/>
    <w:rsid w:val="0037584B"/>
    <w:rsid w:val="00377709"/>
    <w:rsid w:val="00377A4E"/>
    <w:rsid w:val="00381B25"/>
    <w:rsid w:val="00382A3C"/>
    <w:rsid w:val="00383853"/>
    <w:rsid w:val="00383EEB"/>
    <w:rsid w:val="00386CDF"/>
    <w:rsid w:val="00387361"/>
    <w:rsid w:val="00390026"/>
    <w:rsid w:val="00391545"/>
    <w:rsid w:val="003964A4"/>
    <w:rsid w:val="0039682E"/>
    <w:rsid w:val="003A0F62"/>
    <w:rsid w:val="003B0F30"/>
    <w:rsid w:val="003B20D9"/>
    <w:rsid w:val="003B2A75"/>
    <w:rsid w:val="003B2B2D"/>
    <w:rsid w:val="003B396C"/>
    <w:rsid w:val="003B4CC4"/>
    <w:rsid w:val="003B6E95"/>
    <w:rsid w:val="003B787D"/>
    <w:rsid w:val="003B7B60"/>
    <w:rsid w:val="003C019A"/>
    <w:rsid w:val="003C0779"/>
    <w:rsid w:val="003C0EE5"/>
    <w:rsid w:val="003C12DA"/>
    <w:rsid w:val="003C196A"/>
    <w:rsid w:val="003C356A"/>
    <w:rsid w:val="003C5768"/>
    <w:rsid w:val="003C6D3F"/>
    <w:rsid w:val="003D1544"/>
    <w:rsid w:val="003D189B"/>
    <w:rsid w:val="003D1960"/>
    <w:rsid w:val="003D2FD7"/>
    <w:rsid w:val="003D3D4C"/>
    <w:rsid w:val="003D4F9E"/>
    <w:rsid w:val="003D5498"/>
    <w:rsid w:val="003D61A5"/>
    <w:rsid w:val="003D7B5D"/>
    <w:rsid w:val="003E03EB"/>
    <w:rsid w:val="003E31EC"/>
    <w:rsid w:val="003E55D6"/>
    <w:rsid w:val="003E6B83"/>
    <w:rsid w:val="003E77EB"/>
    <w:rsid w:val="003F37ED"/>
    <w:rsid w:val="003F4A08"/>
    <w:rsid w:val="004006B7"/>
    <w:rsid w:val="00403004"/>
    <w:rsid w:val="004033FF"/>
    <w:rsid w:val="0040452A"/>
    <w:rsid w:val="00404650"/>
    <w:rsid w:val="00405025"/>
    <w:rsid w:val="00405506"/>
    <w:rsid w:val="00407904"/>
    <w:rsid w:val="00407E5D"/>
    <w:rsid w:val="0041358A"/>
    <w:rsid w:val="00414941"/>
    <w:rsid w:val="0041520F"/>
    <w:rsid w:val="004167F3"/>
    <w:rsid w:val="00417251"/>
    <w:rsid w:val="004214AA"/>
    <w:rsid w:val="00422C17"/>
    <w:rsid w:val="00422CB6"/>
    <w:rsid w:val="00424139"/>
    <w:rsid w:val="004247E3"/>
    <w:rsid w:val="00424A8D"/>
    <w:rsid w:val="004260EA"/>
    <w:rsid w:val="00430079"/>
    <w:rsid w:val="00430A79"/>
    <w:rsid w:val="00432A63"/>
    <w:rsid w:val="00432F2C"/>
    <w:rsid w:val="00434405"/>
    <w:rsid w:val="0043672F"/>
    <w:rsid w:val="00436CF3"/>
    <w:rsid w:val="004371DF"/>
    <w:rsid w:val="0043753C"/>
    <w:rsid w:val="00437844"/>
    <w:rsid w:val="00440EF3"/>
    <w:rsid w:val="00444653"/>
    <w:rsid w:val="004468E4"/>
    <w:rsid w:val="0045125D"/>
    <w:rsid w:val="004519F4"/>
    <w:rsid w:val="00452D26"/>
    <w:rsid w:val="00453516"/>
    <w:rsid w:val="00453763"/>
    <w:rsid w:val="00456487"/>
    <w:rsid w:val="0045716E"/>
    <w:rsid w:val="00463EB2"/>
    <w:rsid w:val="00465548"/>
    <w:rsid w:val="00467308"/>
    <w:rsid w:val="0046760B"/>
    <w:rsid w:val="00467A78"/>
    <w:rsid w:val="0047010A"/>
    <w:rsid w:val="00470593"/>
    <w:rsid w:val="00471343"/>
    <w:rsid w:val="00471A8D"/>
    <w:rsid w:val="0047246B"/>
    <w:rsid w:val="004740D5"/>
    <w:rsid w:val="004749B1"/>
    <w:rsid w:val="00477259"/>
    <w:rsid w:val="00477F5C"/>
    <w:rsid w:val="00477F99"/>
    <w:rsid w:val="004822AA"/>
    <w:rsid w:val="00484938"/>
    <w:rsid w:val="0048690F"/>
    <w:rsid w:val="00487BC1"/>
    <w:rsid w:val="00487FC1"/>
    <w:rsid w:val="0049024B"/>
    <w:rsid w:val="00491F4E"/>
    <w:rsid w:val="00493F98"/>
    <w:rsid w:val="004946BB"/>
    <w:rsid w:val="00494F58"/>
    <w:rsid w:val="00497B82"/>
    <w:rsid w:val="004A03F5"/>
    <w:rsid w:val="004A1605"/>
    <w:rsid w:val="004A267D"/>
    <w:rsid w:val="004A2FB0"/>
    <w:rsid w:val="004A490D"/>
    <w:rsid w:val="004A74FA"/>
    <w:rsid w:val="004A79A9"/>
    <w:rsid w:val="004A7E2D"/>
    <w:rsid w:val="004B6D75"/>
    <w:rsid w:val="004B7325"/>
    <w:rsid w:val="004C123A"/>
    <w:rsid w:val="004C25DB"/>
    <w:rsid w:val="004C4846"/>
    <w:rsid w:val="004C4AF4"/>
    <w:rsid w:val="004C63B6"/>
    <w:rsid w:val="004C6EDA"/>
    <w:rsid w:val="004D0AB8"/>
    <w:rsid w:val="004D100E"/>
    <w:rsid w:val="004D4DAE"/>
    <w:rsid w:val="004D5BA6"/>
    <w:rsid w:val="004D5CB9"/>
    <w:rsid w:val="004D6534"/>
    <w:rsid w:val="004D70AD"/>
    <w:rsid w:val="004D7187"/>
    <w:rsid w:val="004D79B2"/>
    <w:rsid w:val="004D7C6B"/>
    <w:rsid w:val="004E0E4F"/>
    <w:rsid w:val="004E3197"/>
    <w:rsid w:val="004E3B20"/>
    <w:rsid w:val="004E445D"/>
    <w:rsid w:val="004E4A6E"/>
    <w:rsid w:val="004E5C1E"/>
    <w:rsid w:val="004E7051"/>
    <w:rsid w:val="004F038A"/>
    <w:rsid w:val="004F1EED"/>
    <w:rsid w:val="004F5AA8"/>
    <w:rsid w:val="004F68C0"/>
    <w:rsid w:val="004F7410"/>
    <w:rsid w:val="004F7CAE"/>
    <w:rsid w:val="00500019"/>
    <w:rsid w:val="00500A3E"/>
    <w:rsid w:val="005016E4"/>
    <w:rsid w:val="005022A5"/>
    <w:rsid w:val="00502356"/>
    <w:rsid w:val="00502755"/>
    <w:rsid w:val="00504A0A"/>
    <w:rsid w:val="00504B23"/>
    <w:rsid w:val="00504F5B"/>
    <w:rsid w:val="00505E79"/>
    <w:rsid w:val="00506BDD"/>
    <w:rsid w:val="005106EC"/>
    <w:rsid w:val="005205F2"/>
    <w:rsid w:val="00520C21"/>
    <w:rsid w:val="005238A8"/>
    <w:rsid w:val="00523D2B"/>
    <w:rsid w:val="00524026"/>
    <w:rsid w:val="00524F64"/>
    <w:rsid w:val="00525CCE"/>
    <w:rsid w:val="00525D41"/>
    <w:rsid w:val="00526755"/>
    <w:rsid w:val="00527650"/>
    <w:rsid w:val="0053218C"/>
    <w:rsid w:val="00533AEF"/>
    <w:rsid w:val="005340A4"/>
    <w:rsid w:val="00534652"/>
    <w:rsid w:val="00534ECE"/>
    <w:rsid w:val="005358F0"/>
    <w:rsid w:val="00535A6F"/>
    <w:rsid w:val="005423C6"/>
    <w:rsid w:val="0054419A"/>
    <w:rsid w:val="005458E5"/>
    <w:rsid w:val="00550634"/>
    <w:rsid w:val="00553451"/>
    <w:rsid w:val="0055469A"/>
    <w:rsid w:val="0055484A"/>
    <w:rsid w:val="00554B50"/>
    <w:rsid w:val="0055596E"/>
    <w:rsid w:val="00556887"/>
    <w:rsid w:val="00556D69"/>
    <w:rsid w:val="005603B3"/>
    <w:rsid w:val="00560B9A"/>
    <w:rsid w:val="0056409D"/>
    <w:rsid w:val="00564D71"/>
    <w:rsid w:val="00565455"/>
    <w:rsid w:val="00565BB0"/>
    <w:rsid w:val="0056644A"/>
    <w:rsid w:val="00566B22"/>
    <w:rsid w:val="00572920"/>
    <w:rsid w:val="00576F9D"/>
    <w:rsid w:val="00577517"/>
    <w:rsid w:val="00577E00"/>
    <w:rsid w:val="00581275"/>
    <w:rsid w:val="00582AC9"/>
    <w:rsid w:val="00583559"/>
    <w:rsid w:val="0058457A"/>
    <w:rsid w:val="00584E06"/>
    <w:rsid w:val="005860F2"/>
    <w:rsid w:val="00586CE5"/>
    <w:rsid w:val="00586E2B"/>
    <w:rsid w:val="00586FAE"/>
    <w:rsid w:val="005873AA"/>
    <w:rsid w:val="005879A5"/>
    <w:rsid w:val="00587E61"/>
    <w:rsid w:val="00593CF0"/>
    <w:rsid w:val="0059438E"/>
    <w:rsid w:val="00594E2F"/>
    <w:rsid w:val="00594EC4"/>
    <w:rsid w:val="00595129"/>
    <w:rsid w:val="005968A3"/>
    <w:rsid w:val="00597350"/>
    <w:rsid w:val="005A17FA"/>
    <w:rsid w:val="005A2F15"/>
    <w:rsid w:val="005A39A0"/>
    <w:rsid w:val="005B044A"/>
    <w:rsid w:val="005B088E"/>
    <w:rsid w:val="005B0BAD"/>
    <w:rsid w:val="005B112C"/>
    <w:rsid w:val="005B1D43"/>
    <w:rsid w:val="005B472F"/>
    <w:rsid w:val="005B5C88"/>
    <w:rsid w:val="005C1B3B"/>
    <w:rsid w:val="005C363F"/>
    <w:rsid w:val="005C3D0C"/>
    <w:rsid w:val="005C578B"/>
    <w:rsid w:val="005C66BD"/>
    <w:rsid w:val="005C6FCC"/>
    <w:rsid w:val="005C73CD"/>
    <w:rsid w:val="005C73EB"/>
    <w:rsid w:val="005D08E8"/>
    <w:rsid w:val="005D357A"/>
    <w:rsid w:val="005D3A17"/>
    <w:rsid w:val="005D4EA2"/>
    <w:rsid w:val="005D54D7"/>
    <w:rsid w:val="005D64AC"/>
    <w:rsid w:val="005D67FF"/>
    <w:rsid w:val="005D6878"/>
    <w:rsid w:val="005D6F67"/>
    <w:rsid w:val="005D746F"/>
    <w:rsid w:val="005E1656"/>
    <w:rsid w:val="005E2F53"/>
    <w:rsid w:val="005E3102"/>
    <w:rsid w:val="005E460E"/>
    <w:rsid w:val="005E4D05"/>
    <w:rsid w:val="005E608E"/>
    <w:rsid w:val="005E6342"/>
    <w:rsid w:val="005E7BD9"/>
    <w:rsid w:val="005E7D8D"/>
    <w:rsid w:val="005E7FCB"/>
    <w:rsid w:val="005F0114"/>
    <w:rsid w:val="005F02D1"/>
    <w:rsid w:val="005F10DF"/>
    <w:rsid w:val="005F3459"/>
    <w:rsid w:val="005F455F"/>
    <w:rsid w:val="005F4573"/>
    <w:rsid w:val="005F4852"/>
    <w:rsid w:val="005F664E"/>
    <w:rsid w:val="005F726D"/>
    <w:rsid w:val="006028B9"/>
    <w:rsid w:val="006061AB"/>
    <w:rsid w:val="00610195"/>
    <w:rsid w:val="00610570"/>
    <w:rsid w:val="00610596"/>
    <w:rsid w:val="00611FD7"/>
    <w:rsid w:val="006126D8"/>
    <w:rsid w:val="006132D3"/>
    <w:rsid w:val="00613A1D"/>
    <w:rsid w:val="00615288"/>
    <w:rsid w:val="00615A69"/>
    <w:rsid w:val="00617816"/>
    <w:rsid w:val="00617DDD"/>
    <w:rsid w:val="00622830"/>
    <w:rsid w:val="00623564"/>
    <w:rsid w:val="00625D1A"/>
    <w:rsid w:val="006268A8"/>
    <w:rsid w:val="00626B72"/>
    <w:rsid w:val="0063108A"/>
    <w:rsid w:val="006348C3"/>
    <w:rsid w:val="00634A5F"/>
    <w:rsid w:val="0063518E"/>
    <w:rsid w:val="0063683A"/>
    <w:rsid w:val="00637344"/>
    <w:rsid w:val="00640696"/>
    <w:rsid w:val="00641747"/>
    <w:rsid w:val="00642100"/>
    <w:rsid w:val="0064298A"/>
    <w:rsid w:val="00642E5C"/>
    <w:rsid w:val="00643630"/>
    <w:rsid w:val="00643796"/>
    <w:rsid w:val="006443F0"/>
    <w:rsid w:val="00646183"/>
    <w:rsid w:val="00651A8E"/>
    <w:rsid w:val="00653FAE"/>
    <w:rsid w:val="0066100F"/>
    <w:rsid w:val="006636C7"/>
    <w:rsid w:val="00666F3B"/>
    <w:rsid w:val="0066769C"/>
    <w:rsid w:val="00667C8A"/>
    <w:rsid w:val="006707E7"/>
    <w:rsid w:val="00674C9C"/>
    <w:rsid w:val="006811E1"/>
    <w:rsid w:val="006813B4"/>
    <w:rsid w:val="006815FB"/>
    <w:rsid w:val="00681E8E"/>
    <w:rsid w:val="00682520"/>
    <w:rsid w:val="00682A97"/>
    <w:rsid w:val="006864F7"/>
    <w:rsid w:val="0069176C"/>
    <w:rsid w:val="00692DC7"/>
    <w:rsid w:val="00693838"/>
    <w:rsid w:val="006939D0"/>
    <w:rsid w:val="00693A54"/>
    <w:rsid w:val="006945F7"/>
    <w:rsid w:val="0069758D"/>
    <w:rsid w:val="006A03C8"/>
    <w:rsid w:val="006A1DE0"/>
    <w:rsid w:val="006A20FD"/>
    <w:rsid w:val="006A3415"/>
    <w:rsid w:val="006A3596"/>
    <w:rsid w:val="006A38E1"/>
    <w:rsid w:val="006A781C"/>
    <w:rsid w:val="006A7E43"/>
    <w:rsid w:val="006A7ED5"/>
    <w:rsid w:val="006B068A"/>
    <w:rsid w:val="006B0B10"/>
    <w:rsid w:val="006B0CBA"/>
    <w:rsid w:val="006B26D1"/>
    <w:rsid w:val="006B4B5A"/>
    <w:rsid w:val="006B69B9"/>
    <w:rsid w:val="006C2D14"/>
    <w:rsid w:val="006C2E4F"/>
    <w:rsid w:val="006C3534"/>
    <w:rsid w:val="006C447D"/>
    <w:rsid w:val="006C740F"/>
    <w:rsid w:val="006C7F12"/>
    <w:rsid w:val="006D09A2"/>
    <w:rsid w:val="006D22C6"/>
    <w:rsid w:val="006D381B"/>
    <w:rsid w:val="006D4372"/>
    <w:rsid w:val="006D4707"/>
    <w:rsid w:val="006D47E9"/>
    <w:rsid w:val="006D500E"/>
    <w:rsid w:val="006D5410"/>
    <w:rsid w:val="006D5FE6"/>
    <w:rsid w:val="006D6594"/>
    <w:rsid w:val="006D7A39"/>
    <w:rsid w:val="006E0B87"/>
    <w:rsid w:val="006E16E0"/>
    <w:rsid w:val="006E2532"/>
    <w:rsid w:val="006E46B1"/>
    <w:rsid w:val="006E4DF7"/>
    <w:rsid w:val="006E50E6"/>
    <w:rsid w:val="006E5189"/>
    <w:rsid w:val="006E53E0"/>
    <w:rsid w:val="006E5521"/>
    <w:rsid w:val="006E5CDD"/>
    <w:rsid w:val="006E6126"/>
    <w:rsid w:val="006E6865"/>
    <w:rsid w:val="006E73A8"/>
    <w:rsid w:val="006F1627"/>
    <w:rsid w:val="006F4A9B"/>
    <w:rsid w:val="006F63DF"/>
    <w:rsid w:val="006F6E81"/>
    <w:rsid w:val="006F6F48"/>
    <w:rsid w:val="00701CEB"/>
    <w:rsid w:val="00702547"/>
    <w:rsid w:val="00703D59"/>
    <w:rsid w:val="00704369"/>
    <w:rsid w:val="007067E7"/>
    <w:rsid w:val="00707F34"/>
    <w:rsid w:val="0071144B"/>
    <w:rsid w:val="007133C8"/>
    <w:rsid w:val="007149A0"/>
    <w:rsid w:val="00714DA7"/>
    <w:rsid w:val="00716327"/>
    <w:rsid w:val="00716BB7"/>
    <w:rsid w:val="00717080"/>
    <w:rsid w:val="007173AF"/>
    <w:rsid w:val="00717B7D"/>
    <w:rsid w:val="0072123C"/>
    <w:rsid w:val="0072378A"/>
    <w:rsid w:val="0072416D"/>
    <w:rsid w:val="007249F8"/>
    <w:rsid w:val="00724E6B"/>
    <w:rsid w:val="00724F9B"/>
    <w:rsid w:val="00726642"/>
    <w:rsid w:val="00727033"/>
    <w:rsid w:val="0073031E"/>
    <w:rsid w:val="00730C2C"/>
    <w:rsid w:val="007319C9"/>
    <w:rsid w:val="007326FE"/>
    <w:rsid w:val="00732C43"/>
    <w:rsid w:val="00732EFC"/>
    <w:rsid w:val="00733123"/>
    <w:rsid w:val="00733C4E"/>
    <w:rsid w:val="00733FDD"/>
    <w:rsid w:val="007341C5"/>
    <w:rsid w:val="00734F19"/>
    <w:rsid w:val="00735C27"/>
    <w:rsid w:val="00740E72"/>
    <w:rsid w:val="00742C71"/>
    <w:rsid w:val="00742C7A"/>
    <w:rsid w:val="00743DB7"/>
    <w:rsid w:val="00744F96"/>
    <w:rsid w:val="00744FE4"/>
    <w:rsid w:val="00745A73"/>
    <w:rsid w:val="00746157"/>
    <w:rsid w:val="007469A4"/>
    <w:rsid w:val="007514A7"/>
    <w:rsid w:val="00753435"/>
    <w:rsid w:val="00754427"/>
    <w:rsid w:val="007562B0"/>
    <w:rsid w:val="00757DBA"/>
    <w:rsid w:val="007609E8"/>
    <w:rsid w:val="00762E64"/>
    <w:rsid w:val="00764207"/>
    <w:rsid w:val="007652EF"/>
    <w:rsid w:val="0076596B"/>
    <w:rsid w:val="00766526"/>
    <w:rsid w:val="00771955"/>
    <w:rsid w:val="00771F63"/>
    <w:rsid w:val="007774BF"/>
    <w:rsid w:val="00780F6E"/>
    <w:rsid w:val="0078273C"/>
    <w:rsid w:val="00782ADC"/>
    <w:rsid w:val="00783462"/>
    <w:rsid w:val="00783AFE"/>
    <w:rsid w:val="00784589"/>
    <w:rsid w:val="00784E83"/>
    <w:rsid w:val="00786B71"/>
    <w:rsid w:val="00787726"/>
    <w:rsid w:val="00791965"/>
    <w:rsid w:val="0079196C"/>
    <w:rsid w:val="00791C36"/>
    <w:rsid w:val="0079408D"/>
    <w:rsid w:val="007950BD"/>
    <w:rsid w:val="0079606F"/>
    <w:rsid w:val="00797135"/>
    <w:rsid w:val="00797C92"/>
    <w:rsid w:val="00797D8C"/>
    <w:rsid w:val="007A0325"/>
    <w:rsid w:val="007A3B92"/>
    <w:rsid w:val="007A56EF"/>
    <w:rsid w:val="007A737D"/>
    <w:rsid w:val="007A755D"/>
    <w:rsid w:val="007A7BC9"/>
    <w:rsid w:val="007B0692"/>
    <w:rsid w:val="007B106F"/>
    <w:rsid w:val="007B13CC"/>
    <w:rsid w:val="007B20C2"/>
    <w:rsid w:val="007B2906"/>
    <w:rsid w:val="007B57BA"/>
    <w:rsid w:val="007B5ACA"/>
    <w:rsid w:val="007B5BEC"/>
    <w:rsid w:val="007B6E76"/>
    <w:rsid w:val="007B77A4"/>
    <w:rsid w:val="007C3F63"/>
    <w:rsid w:val="007C586F"/>
    <w:rsid w:val="007C5B49"/>
    <w:rsid w:val="007C637D"/>
    <w:rsid w:val="007C7880"/>
    <w:rsid w:val="007D2582"/>
    <w:rsid w:val="007D6793"/>
    <w:rsid w:val="007D6CBE"/>
    <w:rsid w:val="007D6EE2"/>
    <w:rsid w:val="007D7102"/>
    <w:rsid w:val="007E0EC6"/>
    <w:rsid w:val="007E126D"/>
    <w:rsid w:val="007E2E6F"/>
    <w:rsid w:val="007E3C00"/>
    <w:rsid w:val="007E4D0C"/>
    <w:rsid w:val="007E5B0F"/>
    <w:rsid w:val="007E6225"/>
    <w:rsid w:val="007E685F"/>
    <w:rsid w:val="007E6DE7"/>
    <w:rsid w:val="007F0390"/>
    <w:rsid w:val="007F08AE"/>
    <w:rsid w:val="007F2028"/>
    <w:rsid w:val="007F26FD"/>
    <w:rsid w:val="007F5391"/>
    <w:rsid w:val="007F646B"/>
    <w:rsid w:val="007F6D09"/>
    <w:rsid w:val="007F7997"/>
    <w:rsid w:val="008000EA"/>
    <w:rsid w:val="0080159F"/>
    <w:rsid w:val="0080252B"/>
    <w:rsid w:val="008026A4"/>
    <w:rsid w:val="008027CF"/>
    <w:rsid w:val="00802F3D"/>
    <w:rsid w:val="008041E8"/>
    <w:rsid w:val="0080518F"/>
    <w:rsid w:val="008054C5"/>
    <w:rsid w:val="0080568C"/>
    <w:rsid w:val="00806068"/>
    <w:rsid w:val="00806135"/>
    <w:rsid w:val="008064EA"/>
    <w:rsid w:val="008078FA"/>
    <w:rsid w:val="00807A3D"/>
    <w:rsid w:val="00813329"/>
    <w:rsid w:val="00814437"/>
    <w:rsid w:val="00814C71"/>
    <w:rsid w:val="00815177"/>
    <w:rsid w:val="00821317"/>
    <w:rsid w:val="008227CA"/>
    <w:rsid w:val="008230BC"/>
    <w:rsid w:val="00823CCC"/>
    <w:rsid w:val="00825EF2"/>
    <w:rsid w:val="008316BD"/>
    <w:rsid w:val="008321AD"/>
    <w:rsid w:val="00833700"/>
    <w:rsid w:val="00834399"/>
    <w:rsid w:val="00835822"/>
    <w:rsid w:val="008424E9"/>
    <w:rsid w:val="00842EDC"/>
    <w:rsid w:val="00844F6E"/>
    <w:rsid w:val="008458F5"/>
    <w:rsid w:val="00846B44"/>
    <w:rsid w:val="00847FA3"/>
    <w:rsid w:val="00850632"/>
    <w:rsid w:val="0085140B"/>
    <w:rsid w:val="008522B0"/>
    <w:rsid w:val="00852EF9"/>
    <w:rsid w:val="008537E3"/>
    <w:rsid w:val="008561FC"/>
    <w:rsid w:val="008577CB"/>
    <w:rsid w:val="00857AB6"/>
    <w:rsid w:val="00857D60"/>
    <w:rsid w:val="008601DE"/>
    <w:rsid w:val="008609F4"/>
    <w:rsid w:val="00861D63"/>
    <w:rsid w:val="008649AA"/>
    <w:rsid w:val="00865319"/>
    <w:rsid w:val="00866538"/>
    <w:rsid w:val="00872362"/>
    <w:rsid w:val="00873AE1"/>
    <w:rsid w:val="008746A4"/>
    <w:rsid w:val="00874F4E"/>
    <w:rsid w:val="0087691E"/>
    <w:rsid w:val="00880672"/>
    <w:rsid w:val="00881486"/>
    <w:rsid w:val="00881665"/>
    <w:rsid w:val="0088211F"/>
    <w:rsid w:val="00884FB9"/>
    <w:rsid w:val="00886CBC"/>
    <w:rsid w:val="0089023D"/>
    <w:rsid w:val="00891876"/>
    <w:rsid w:val="00897742"/>
    <w:rsid w:val="00897B89"/>
    <w:rsid w:val="00897C5A"/>
    <w:rsid w:val="008A1788"/>
    <w:rsid w:val="008A69E8"/>
    <w:rsid w:val="008B12A5"/>
    <w:rsid w:val="008B48C1"/>
    <w:rsid w:val="008C0244"/>
    <w:rsid w:val="008C3D0E"/>
    <w:rsid w:val="008C3DF5"/>
    <w:rsid w:val="008C401A"/>
    <w:rsid w:val="008C6044"/>
    <w:rsid w:val="008D0E79"/>
    <w:rsid w:val="008D24F5"/>
    <w:rsid w:val="008D309B"/>
    <w:rsid w:val="008D4E56"/>
    <w:rsid w:val="008D7261"/>
    <w:rsid w:val="008D735C"/>
    <w:rsid w:val="008D75E1"/>
    <w:rsid w:val="008D79C2"/>
    <w:rsid w:val="008E0552"/>
    <w:rsid w:val="008E2B19"/>
    <w:rsid w:val="008E42E5"/>
    <w:rsid w:val="008E4E39"/>
    <w:rsid w:val="008E508D"/>
    <w:rsid w:val="008E5289"/>
    <w:rsid w:val="008E72DC"/>
    <w:rsid w:val="008F0B1A"/>
    <w:rsid w:val="008F0F6D"/>
    <w:rsid w:val="008F2929"/>
    <w:rsid w:val="008F54BE"/>
    <w:rsid w:val="008F5C10"/>
    <w:rsid w:val="0090168D"/>
    <w:rsid w:val="0090493F"/>
    <w:rsid w:val="0090543C"/>
    <w:rsid w:val="00905D09"/>
    <w:rsid w:val="00906B7D"/>
    <w:rsid w:val="00906C99"/>
    <w:rsid w:val="009109A4"/>
    <w:rsid w:val="00910F2B"/>
    <w:rsid w:val="009134E7"/>
    <w:rsid w:val="00915B47"/>
    <w:rsid w:val="00916A17"/>
    <w:rsid w:val="009177FC"/>
    <w:rsid w:val="00917C4F"/>
    <w:rsid w:val="009208A7"/>
    <w:rsid w:val="00920AF6"/>
    <w:rsid w:val="009219C0"/>
    <w:rsid w:val="009223F3"/>
    <w:rsid w:val="0092353B"/>
    <w:rsid w:val="00923B85"/>
    <w:rsid w:val="009312FA"/>
    <w:rsid w:val="009317B1"/>
    <w:rsid w:val="00933420"/>
    <w:rsid w:val="009344C8"/>
    <w:rsid w:val="00935732"/>
    <w:rsid w:val="00941AAD"/>
    <w:rsid w:val="00941B25"/>
    <w:rsid w:val="00944E99"/>
    <w:rsid w:val="00945225"/>
    <w:rsid w:val="00951066"/>
    <w:rsid w:val="0095145D"/>
    <w:rsid w:val="0095494E"/>
    <w:rsid w:val="00954E13"/>
    <w:rsid w:val="009567C9"/>
    <w:rsid w:val="00956B23"/>
    <w:rsid w:val="00956F6E"/>
    <w:rsid w:val="00957014"/>
    <w:rsid w:val="00957218"/>
    <w:rsid w:val="00957753"/>
    <w:rsid w:val="00960545"/>
    <w:rsid w:val="0096068B"/>
    <w:rsid w:val="00961E59"/>
    <w:rsid w:val="00961FBE"/>
    <w:rsid w:val="0096435D"/>
    <w:rsid w:val="009656A5"/>
    <w:rsid w:val="009656AE"/>
    <w:rsid w:val="00966857"/>
    <w:rsid w:val="00967229"/>
    <w:rsid w:val="0097015B"/>
    <w:rsid w:val="00970733"/>
    <w:rsid w:val="00971C4A"/>
    <w:rsid w:val="00972268"/>
    <w:rsid w:val="009736C5"/>
    <w:rsid w:val="00973F33"/>
    <w:rsid w:val="009742EA"/>
    <w:rsid w:val="00975FA5"/>
    <w:rsid w:val="00976DF4"/>
    <w:rsid w:val="009779D3"/>
    <w:rsid w:val="00977F34"/>
    <w:rsid w:val="00980F4B"/>
    <w:rsid w:val="00985D48"/>
    <w:rsid w:val="00991AAB"/>
    <w:rsid w:val="009943CC"/>
    <w:rsid w:val="00994767"/>
    <w:rsid w:val="0099669C"/>
    <w:rsid w:val="0099676F"/>
    <w:rsid w:val="00997B01"/>
    <w:rsid w:val="009A0491"/>
    <w:rsid w:val="009A2768"/>
    <w:rsid w:val="009A276B"/>
    <w:rsid w:val="009A31E9"/>
    <w:rsid w:val="009A36ED"/>
    <w:rsid w:val="009A5859"/>
    <w:rsid w:val="009A7697"/>
    <w:rsid w:val="009B056F"/>
    <w:rsid w:val="009B072D"/>
    <w:rsid w:val="009B21AD"/>
    <w:rsid w:val="009B3EB6"/>
    <w:rsid w:val="009B4AD1"/>
    <w:rsid w:val="009B4C26"/>
    <w:rsid w:val="009B58A0"/>
    <w:rsid w:val="009B65B5"/>
    <w:rsid w:val="009B6A10"/>
    <w:rsid w:val="009B7CB8"/>
    <w:rsid w:val="009C1358"/>
    <w:rsid w:val="009C32C9"/>
    <w:rsid w:val="009C34D6"/>
    <w:rsid w:val="009C5FE7"/>
    <w:rsid w:val="009D0B25"/>
    <w:rsid w:val="009D0D22"/>
    <w:rsid w:val="009D0FE9"/>
    <w:rsid w:val="009D18BE"/>
    <w:rsid w:val="009D2A1E"/>
    <w:rsid w:val="009D358A"/>
    <w:rsid w:val="009D4587"/>
    <w:rsid w:val="009D4AC9"/>
    <w:rsid w:val="009D522D"/>
    <w:rsid w:val="009D5852"/>
    <w:rsid w:val="009D605B"/>
    <w:rsid w:val="009D7855"/>
    <w:rsid w:val="009E07A2"/>
    <w:rsid w:val="009E07A4"/>
    <w:rsid w:val="009E0F0C"/>
    <w:rsid w:val="009E3591"/>
    <w:rsid w:val="009E77E8"/>
    <w:rsid w:val="009F247E"/>
    <w:rsid w:val="009F398C"/>
    <w:rsid w:val="009F399D"/>
    <w:rsid w:val="009F3D85"/>
    <w:rsid w:val="009F4160"/>
    <w:rsid w:val="009F4AAB"/>
    <w:rsid w:val="009F749E"/>
    <w:rsid w:val="009F75A9"/>
    <w:rsid w:val="009F7F9C"/>
    <w:rsid w:val="00A00040"/>
    <w:rsid w:val="00A00A50"/>
    <w:rsid w:val="00A00DF7"/>
    <w:rsid w:val="00A018F6"/>
    <w:rsid w:val="00A03DE4"/>
    <w:rsid w:val="00A04E23"/>
    <w:rsid w:val="00A05CFF"/>
    <w:rsid w:val="00A11607"/>
    <w:rsid w:val="00A11B57"/>
    <w:rsid w:val="00A1393E"/>
    <w:rsid w:val="00A139F1"/>
    <w:rsid w:val="00A14534"/>
    <w:rsid w:val="00A14BFA"/>
    <w:rsid w:val="00A15CAA"/>
    <w:rsid w:val="00A241DE"/>
    <w:rsid w:val="00A245DE"/>
    <w:rsid w:val="00A24D02"/>
    <w:rsid w:val="00A24E4F"/>
    <w:rsid w:val="00A26026"/>
    <w:rsid w:val="00A3020D"/>
    <w:rsid w:val="00A35F24"/>
    <w:rsid w:val="00A361EE"/>
    <w:rsid w:val="00A3645A"/>
    <w:rsid w:val="00A373DC"/>
    <w:rsid w:val="00A37404"/>
    <w:rsid w:val="00A37CED"/>
    <w:rsid w:val="00A428C2"/>
    <w:rsid w:val="00A43732"/>
    <w:rsid w:val="00A47479"/>
    <w:rsid w:val="00A50568"/>
    <w:rsid w:val="00A538E0"/>
    <w:rsid w:val="00A542B5"/>
    <w:rsid w:val="00A5650A"/>
    <w:rsid w:val="00A64352"/>
    <w:rsid w:val="00A702F0"/>
    <w:rsid w:val="00A704E8"/>
    <w:rsid w:val="00A70E17"/>
    <w:rsid w:val="00A71550"/>
    <w:rsid w:val="00A71A2E"/>
    <w:rsid w:val="00A73C84"/>
    <w:rsid w:val="00A73D93"/>
    <w:rsid w:val="00A73E2D"/>
    <w:rsid w:val="00A77F7B"/>
    <w:rsid w:val="00A805FE"/>
    <w:rsid w:val="00A83135"/>
    <w:rsid w:val="00A8343D"/>
    <w:rsid w:val="00A8598C"/>
    <w:rsid w:val="00A87A1D"/>
    <w:rsid w:val="00A87B2E"/>
    <w:rsid w:val="00A91008"/>
    <w:rsid w:val="00A925FA"/>
    <w:rsid w:val="00A92E4E"/>
    <w:rsid w:val="00A94FCA"/>
    <w:rsid w:val="00A94FD4"/>
    <w:rsid w:val="00A952AC"/>
    <w:rsid w:val="00A95D9E"/>
    <w:rsid w:val="00AA01D8"/>
    <w:rsid w:val="00AA1006"/>
    <w:rsid w:val="00AA1FE5"/>
    <w:rsid w:val="00AA3087"/>
    <w:rsid w:val="00AA535F"/>
    <w:rsid w:val="00AA57C9"/>
    <w:rsid w:val="00AA6BAA"/>
    <w:rsid w:val="00AB20BD"/>
    <w:rsid w:val="00AB521D"/>
    <w:rsid w:val="00AB6971"/>
    <w:rsid w:val="00AB727A"/>
    <w:rsid w:val="00AB75B9"/>
    <w:rsid w:val="00AC1263"/>
    <w:rsid w:val="00AC18FE"/>
    <w:rsid w:val="00AC2D3A"/>
    <w:rsid w:val="00AC375C"/>
    <w:rsid w:val="00AC3E22"/>
    <w:rsid w:val="00AC47A2"/>
    <w:rsid w:val="00AC4AED"/>
    <w:rsid w:val="00AC5764"/>
    <w:rsid w:val="00AC64F5"/>
    <w:rsid w:val="00AD3E48"/>
    <w:rsid w:val="00AD54AA"/>
    <w:rsid w:val="00AD60AD"/>
    <w:rsid w:val="00AE0182"/>
    <w:rsid w:val="00AE1801"/>
    <w:rsid w:val="00AE22DB"/>
    <w:rsid w:val="00AE398B"/>
    <w:rsid w:val="00AE64F1"/>
    <w:rsid w:val="00AF0139"/>
    <w:rsid w:val="00AF1B01"/>
    <w:rsid w:val="00AF6EE1"/>
    <w:rsid w:val="00AF7925"/>
    <w:rsid w:val="00B01F38"/>
    <w:rsid w:val="00B03EA1"/>
    <w:rsid w:val="00B04A70"/>
    <w:rsid w:val="00B04B0F"/>
    <w:rsid w:val="00B04D95"/>
    <w:rsid w:val="00B052E0"/>
    <w:rsid w:val="00B057A0"/>
    <w:rsid w:val="00B1068E"/>
    <w:rsid w:val="00B12C6E"/>
    <w:rsid w:val="00B12F82"/>
    <w:rsid w:val="00B15D9D"/>
    <w:rsid w:val="00B20441"/>
    <w:rsid w:val="00B22A37"/>
    <w:rsid w:val="00B2362E"/>
    <w:rsid w:val="00B23EB1"/>
    <w:rsid w:val="00B245B6"/>
    <w:rsid w:val="00B248B2"/>
    <w:rsid w:val="00B25211"/>
    <w:rsid w:val="00B2595D"/>
    <w:rsid w:val="00B2758B"/>
    <w:rsid w:val="00B306BF"/>
    <w:rsid w:val="00B30C5B"/>
    <w:rsid w:val="00B30EA3"/>
    <w:rsid w:val="00B3212A"/>
    <w:rsid w:val="00B32A0B"/>
    <w:rsid w:val="00B33323"/>
    <w:rsid w:val="00B33C04"/>
    <w:rsid w:val="00B377C6"/>
    <w:rsid w:val="00B40487"/>
    <w:rsid w:val="00B4052C"/>
    <w:rsid w:val="00B40A10"/>
    <w:rsid w:val="00B40CCA"/>
    <w:rsid w:val="00B4206E"/>
    <w:rsid w:val="00B42B2C"/>
    <w:rsid w:val="00B450E7"/>
    <w:rsid w:val="00B4603D"/>
    <w:rsid w:val="00B46774"/>
    <w:rsid w:val="00B52FAE"/>
    <w:rsid w:val="00B57123"/>
    <w:rsid w:val="00B60F34"/>
    <w:rsid w:val="00B64D0A"/>
    <w:rsid w:val="00B66C47"/>
    <w:rsid w:val="00B66E88"/>
    <w:rsid w:val="00B67A4A"/>
    <w:rsid w:val="00B70569"/>
    <w:rsid w:val="00B706AC"/>
    <w:rsid w:val="00B70798"/>
    <w:rsid w:val="00B7171F"/>
    <w:rsid w:val="00B754C5"/>
    <w:rsid w:val="00B80614"/>
    <w:rsid w:val="00B81D23"/>
    <w:rsid w:val="00B826FD"/>
    <w:rsid w:val="00B8418C"/>
    <w:rsid w:val="00B84309"/>
    <w:rsid w:val="00B853D7"/>
    <w:rsid w:val="00B872D1"/>
    <w:rsid w:val="00B874D9"/>
    <w:rsid w:val="00B90BC0"/>
    <w:rsid w:val="00B92E34"/>
    <w:rsid w:val="00B93164"/>
    <w:rsid w:val="00B947C1"/>
    <w:rsid w:val="00B94EDE"/>
    <w:rsid w:val="00B959B6"/>
    <w:rsid w:val="00B9678D"/>
    <w:rsid w:val="00BA0056"/>
    <w:rsid w:val="00BA0A2E"/>
    <w:rsid w:val="00BA16B6"/>
    <w:rsid w:val="00BA2D2E"/>
    <w:rsid w:val="00BA2D57"/>
    <w:rsid w:val="00BA65E2"/>
    <w:rsid w:val="00BA6908"/>
    <w:rsid w:val="00BB0B5F"/>
    <w:rsid w:val="00BB1B24"/>
    <w:rsid w:val="00BB28EC"/>
    <w:rsid w:val="00BB2EE1"/>
    <w:rsid w:val="00BB3275"/>
    <w:rsid w:val="00BB404D"/>
    <w:rsid w:val="00BB5CCF"/>
    <w:rsid w:val="00BB5D78"/>
    <w:rsid w:val="00BB6112"/>
    <w:rsid w:val="00BB62BC"/>
    <w:rsid w:val="00BB67F8"/>
    <w:rsid w:val="00BB7615"/>
    <w:rsid w:val="00BB7AA8"/>
    <w:rsid w:val="00BB7D62"/>
    <w:rsid w:val="00BC0D8A"/>
    <w:rsid w:val="00BC2A6E"/>
    <w:rsid w:val="00BC59B1"/>
    <w:rsid w:val="00BC5AF2"/>
    <w:rsid w:val="00BD1A36"/>
    <w:rsid w:val="00BD5939"/>
    <w:rsid w:val="00BD666D"/>
    <w:rsid w:val="00BD68A0"/>
    <w:rsid w:val="00BD6B55"/>
    <w:rsid w:val="00BE0335"/>
    <w:rsid w:val="00BE05B2"/>
    <w:rsid w:val="00BE0E5C"/>
    <w:rsid w:val="00BE2703"/>
    <w:rsid w:val="00BE3114"/>
    <w:rsid w:val="00BE5BA0"/>
    <w:rsid w:val="00BE68E5"/>
    <w:rsid w:val="00BE6938"/>
    <w:rsid w:val="00BE6DC6"/>
    <w:rsid w:val="00BF1C43"/>
    <w:rsid w:val="00BF1EA0"/>
    <w:rsid w:val="00BF2CBE"/>
    <w:rsid w:val="00BF3424"/>
    <w:rsid w:val="00BF44FB"/>
    <w:rsid w:val="00BF4501"/>
    <w:rsid w:val="00BF6048"/>
    <w:rsid w:val="00BF7AB9"/>
    <w:rsid w:val="00C03737"/>
    <w:rsid w:val="00C03FB7"/>
    <w:rsid w:val="00C055ED"/>
    <w:rsid w:val="00C15ED6"/>
    <w:rsid w:val="00C16585"/>
    <w:rsid w:val="00C1775E"/>
    <w:rsid w:val="00C2057D"/>
    <w:rsid w:val="00C22576"/>
    <w:rsid w:val="00C22CAF"/>
    <w:rsid w:val="00C24FD1"/>
    <w:rsid w:val="00C25A82"/>
    <w:rsid w:val="00C25C9D"/>
    <w:rsid w:val="00C26381"/>
    <w:rsid w:val="00C26DDA"/>
    <w:rsid w:val="00C2763E"/>
    <w:rsid w:val="00C3109A"/>
    <w:rsid w:val="00C310F4"/>
    <w:rsid w:val="00C31D73"/>
    <w:rsid w:val="00C335C0"/>
    <w:rsid w:val="00C339C9"/>
    <w:rsid w:val="00C34620"/>
    <w:rsid w:val="00C349A5"/>
    <w:rsid w:val="00C34BFF"/>
    <w:rsid w:val="00C36C0C"/>
    <w:rsid w:val="00C379BF"/>
    <w:rsid w:val="00C41B09"/>
    <w:rsid w:val="00C44651"/>
    <w:rsid w:val="00C45D4C"/>
    <w:rsid w:val="00C46403"/>
    <w:rsid w:val="00C47DDD"/>
    <w:rsid w:val="00C51B59"/>
    <w:rsid w:val="00C52764"/>
    <w:rsid w:val="00C529EA"/>
    <w:rsid w:val="00C52F94"/>
    <w:rsid w:val="00C56974"/>
    <w:rsid w:val="00C62B3B"/>
    <w:rsid w:val="00C62E8B"/>
    <w:rsid w:val="00C63C39"/>
    <w:rsid w:val="00C658F4"/>
    <w:rsid w:val="00C65B54"/>
    <w:rsid w:val="00C66414"/>
    <w:rsid w:val="00C67167"/>
    <w:rsid w:val="00C67CE7"/>
    <w:rsid w:val="00C70EA1"/>
    <w:rsid w:val="00C750CB"/>
    <w:rsid w:val="00C75546"/>
    <w:rsid w:val="00C833B8"/>
    <w:rsid w:val="00C847AB"/>
    <w:rsid w:val="00C85D41"/>
    <w:rsid w:val="00C86DED"/>
    <w:rsid w:val="00C8754D"/>
    <w:rsid w:val="00C90BA3"/>
    <w:rsid w:val="00C910FD"/>
    <w:rsid w:val="00C91858"/>
    <w:rsid w:val="00C948F8"/>
    <w:rsid w:val="00C95314"/>
    <w:rsid w:val="00C96352"/>
    <w:rsid w:val="00C97668"/>
    <w:rsid w:val="00C97A3E"/>
    <w:rsid w:val="00CA0063"/>
    <w:rsid w:val="00CA2045"/>
    <w:rsid w:val="00CA2E39"/>
    <w:rsid w:val="00CA32AE"/>
    <w:rsid w:val="00CA37C4"/>
    <w:rsid w:val="00CA3EBE"/>
    <w:rsid w:val="00CA572C"/>
    <w:rsid w:val="00CA689A"/>
    <w:rsid w:val="00CA6DFA"/>
    <w:rsid w:val="00CA706A"/>
    <w:rsid w:val="00CB0A5A"/>
    <w:rsid w:val="00CB1218"/>
    <w:rsid w:val="00CB1686"/>
    <w:rsid w:val="00CB3824"/>
    <w:rsid w:val="00CB3F6F"/>
    <w:rsid w:val="00CB4E62"/>
    <w:rsid w:val="00CB4E82"/>
    <w:rsid w:val="00CB5295"/>
    <w:rsid w:val="00CB55FC"/>
    <w:rsid w:val="00CB7106"/>
    <w:rsid w:val="00CB7913"/>
    <w:rsid w:val="00CC0807"/>
    <w:rsid w:val="00CC120C"/>
    <w:rsid w:val="00CC3E1E"/>
    <w:rsid w:val="00CC4573"/>
    <w:rsid w:val="00CC4D2A"/>
    <w:rsid w:val="00CC6AF3"/>
    <w:rsid w:val="00CD154C"/>
    <w:rsid w:val="00CD2F48"/>
    <w:rsid w:val="00CD2F99"/>
    <w:rsid w:val="00CD3079"/>
    <w:rsid w:val="00CD405C"/>
    <w:rsid w:val="00CD583A"/>
    <w:rsid w:val="00CD5EF0"/>
    <w:rsid w:val="00CD6C29"/>
    <w:rsid w:val="00CD75D3"/>
    <w:rsid w:val="00CE089F"/>
    <w:rsid w:val="00CE1146"/>
    <w:rsid w:val="00CE1ED5"/>
    <w:rsid w:val="00CE3739"/>
    <w:rsid w:val="00CE4451"/>
    <w:rsid w:val="00CE4809"/>
    <w:rsid w:val="00CE4F3F"/>
    <w:rsid w:val="00CE5784"/>
    <w:rsid w:val="00CE739E"/>
    <w:rsid w:val="00CF1041"/>
    <w:rsid w:val="00CF2F3F"/>
    <w:rsid w:val="00CF462A"/>
    <w:rsid w:val="00CF6F7E"/>
    <w:rsid w:val="00CF7001"/>
    <w:rsid w:val="00CF74E9"/>
    <w:rsid w:val="00CF7D25"/>
    <w:rsid w:val="00D02E56"/>
    <w:rsid w:val="00D05282"/>
    <w:rsid w:val="00D14767"/>
    <w:rsid w:val="00D16990"/>
    <w:rsid w:val="00D262B9"/>
    <w:rsid w:val="00D263F6"/>
    <w:rsid w:val="00D26AF9"/>
    <w:rsid w:val="00D314E8"/>
    <w:rsid w:val="00D31F82"/>
    <w:rsid w:val="00D339EB"/>
    <w:rsid w:val="00D33DA2"/>
    <w:rsid w:val="00D3422F"/>
    <w:rsid w:val="00D35268"/>
    <w:rsid w:val="00D36372"/>
    <w:rsid w:val="00D379BE"/>
    <w:rsid w:val="00D43111"/>
    <w:rsid w:val="00D438D9"/>
    <w:rsid w:val="00D447EE"/>
    <w:rsid w:val="00D50C12"/>
    <w:rsid w:val="00D56C21"/>
    <w:rsid w:val="00D61883"/>
    <w:rsid w:val="00D63768"/>
    <w:rsid w:val="00D661B0"/>
    <w:rsid w:val="00D66471"/>
    <w:rsid w:val="00D6722E"/>
    <w:rsid w:val="00D673C7"/>
    <w:rsid w:val="00D701F4"/>
    <w:rsid w:val="00D70569"/>
    <w:rsid w:val="00D713A5"/>
    <w:rsid w:val="00D73646"/>
    <w:rsid w:val="00D742F9"/>
    <w:rsid w:val="00D75137"/>
    <w:rsid w:val="00D7679A"/>
    <w:rsid w:val="00D775E7"/>
    <w:rsid w:val="00D82E54"/>
    <w:rsid w:val="00D833AC"/>
    <w:rsid w:val="00D84694"/>
    <w:rsid w:val="00D8631A"/>
    <w:rsid w:val="00D86B47"/>
    <w:rsid w:val="00D90599"/>
    <w:rsid w:val="00D90ABC"/>
    <w:rsid w:val="00D92AFD"/>
    <w:rsid w:val="00D930AA"/>
    <w:rsid w:val="00D93737"/>
    <w:rsid w:val="00D94937"/>
    <w:rsid w:val="00D94DFE"/>
    <w:rsid w:val="00D95530"/>
    <w:rsid w:val="00D957A7"/>
    <w:rsid w:val="00D96B5C"/>
    <w:rsid w:val="00D97119"/>
    <w:rsid w:val="00DA3DA7"/>
    <w:rsid w:val="00DA4154"/>
    <w:rsid w:val="00DA5D0B"/>
    <w:rsid w:val="00DB07E1"/>
    <w:rsid w:val="00DB17B1"/>
    <w:rsid w:val="00DB28DB"/>
    <w:rsid w:val="00DB2A65"/>
    <w:rsid w:val="00DB482C"/>
    <w:rsid w:val="00DB548D"/>
    <w:rsid w:val="00DB65FD"/>
    <w:rsid w:val="00DC0361"/>
    <w:rsid w:val="00DC1505"/>
    <w:rsid w:val="00DC1F36"/>
    <w:rsid w:val="00DC2720"/>
    <w:rsid w:val="00DC3E56"/>
    <w:rsid w:val="00DC4A43"/>
    <w:rsid w:val="00DC4E06"/>
    <w:rsid w:val="00DC50B6"/>
    <w:rsid w:val="00DC5A56"/>
    <w:rsid w:val="00DC795C"/>
    <w:rsid w:val="00DD0C0E"/>
    <w:rsid w:val="00DD1BC7"/>
    <w:rsid w:val="00DD22D6"/>
    <w:rsid w:val="00DD4317"/>
    <w:rsid w:val="00DD6DB1"/>
    <w:rsid w:val="00DD7F03"/>
    <w:rsid w:val="00DE03BF"/>
    <w:rsid w:val="00DE0C27"/>
    <w:rsid w:val="00DE0CBD"/>
    <w:rsid w:val="00DE1F44"/>
    <w:rsid w:val="00DE1F6E"/>
    <w:rsid w:val="00DE1F83"/>
    <w:rsid w:val="00DE29EB"/>
    <w:rsid w:val="00DE412E"/>
    <w:rsid w:val="00DE45B5"/>
    <w:rsid w:val="00DE4E86"/>
    <w:rsid w:val="00DF19E3"/>
    <w:rsid w:val="00DF20D1"/>
    <w:rsid w:val="00DF2572"/>
    <w:rsid w:val="00DF2F15"/>
    <w:rsid w:val="00DF3397"/>
    <w:rsid w:val="00DF543D"/>
    <w:rsid w:val="00DF5716"/>
    <w:rsid w:val="00DF73B4"/>
    <w:rsid w:val="00E018AD"/>
    <w:rsid w:val="00E01DA9"/>
    <w:rsid w:val="00E02BBA"/>
    <w:rsid w:val="00E02E1B"/>
    <w:rsid w:val="00E03DE7"/>
    <w:rsid w:val="00E04DB9"/>
    <w:rsid w:val="00E0560F"/>
    <w:rsid w:val="00E06B48"/>
    <w:rsid w:val="00E07397"/>
    <w:rsid w:val="00E07CD6"/>
    <w:rsid w:val="00E11B0A"/>
    <w:rsid w:val="00E12885"/>
    <w:rsid w:val="00E14C10"/>
    <w:rsid w:val="00E15476"/>
    <w:rsid w:val="00E17282"/>
    <w:rsid w:val="00E21293"/>
    <w:rsid w:val="00E22352"/>
    <w:rsid w:val="00E22C5B"/>
    <w:rsid w:val="00E24E06"/>
    <w:rsid w:val="00E25D6C"/>
    <w:rsid w:val="00E26618"/>
    <w:rsid w:val="00E26AC6"/>
    <w:rsid w:val="00E272DF"/>
    <w:rsid w:val="00E30F35"/>
    <w:rsid w:val="00E33F8B"/>
    <w:rsid w:val="00E35951"/>
    <w:rsid w:val="00E36F75"/>
    <w:rsid w:val="00E37BF8"/>
    <w:rsid w:val="00E40321"/>
    <w:rsid w:val="00E42692"/>
    <w:rsid w:val="00E42E8E"/>
    <w:rsid w:val="00E478D7"/>
    <w:rsid w:val="00E509EE"/>
    <w:rsid w:val="00E518B0"/>
    <w:rsid w:val="00E545D8"/>
    <w:rsid w:val="00E548F9"/>
    <w:rsid w:val="00E5547F"/>
    <w:rsid w:val="00E56D83"/>
    <w:rsid w:val="00E56FD9"/>
    <w:rsid w:val="00E60700"/>
    <w:rsid w:val="00E608E7"/>
    <w:rsid w:val="00E619CD"/>
    <w:rsid w:val="00E63577"/>
    <w:rsid w:val="00E63596"/>
    <w:rsid w:val="00E63AF2"/>
    <w:rsid w:val="00E64E93"/>
    <w:rsid w:val="00E65FE7"/>
    <w:rsid w:val="00E67549"/>
    <w:rsid w:val="00E677EC"/>
    <w:rsid w:val="00E7155B"/>
    <w:rsid w:val="00E716DF"/>
    <w:rsid w:val="00E723C0"/>
    <w:rsid w:val="00E731E4"/>
    <w:rsid w:val="00E73AD6"/>
    <w:rsid w:val="00E75AB5"/>
    <w:rsid w:val="00E7626E"/>
    <w:rsid w:val="00E8223B"/>
    <w:rsid w:val="00E84278"/>
    <w:rsid w:val="00E84795"/>
    <w:rsid w:val="00E8570A"/>
    <w:rsid w:val="00E85DAE"/>
    <w:rsid w:val="00E868DA"/>
    <w:rsid w:val="00E869F9"/>
    <w:rsid w:val="00E86E25"/>
    <w:rsid w:val="00E875BA"/>
    <w:rsid w:val="00E914A3"/>
    <w:rsid w:val="00E91F70"/>
    <w:rsid w:val="00E97EEB"/>
    <w:rsid w:val="00EA108A"/>
    <w:rsid w:val="00EA189E"/>
    <w:rsid w:val="00EA25B0"/>
    <w:rsid w:val="00EA344A"/>
    <w:rsid w:val="00EA440F"/>
    <w:rsid w:val="00EA4690"/>
    <w:rsid w:val="00EB1CD4"/>
    <w:rsid w:val="00EB1DA3"/>
    <w:rsid w:val="00EB2BD3"/>
    <w:rsid w:val="00EB2FF0"/>
    <w:rsid w:val="00EB4462"/>
    <w:rsid w:val="00EB518E"/>
    <w:rsid w:val="00EB5DC8"/>
    <w:rsid w:val="00EB672A"/>
    <w:rsid w:val="00EB69A3"/>
    <w:rsid w:val="00EB6A3B"/>
    <w:rsid w:val="00EB775F"/>
    <w:rsid w:val="00EC20A7"/>
    <w:rsid w:val="00EC2E23"/>
    <w:rsid w:val="00EC4184"/>
    <w:rsid w:val="00EC6C26"/>
    <w:rsid w:val="00ED0E2B"/>
    <w:rsid w:val="00ED0F21"/>
    <w:rsid w:val="00ED27EA"/>
    <w:rsid w:val="00ED6256"/>
    <w:rsid w:val="00ED7E62"/>
    <w:rsid w:val="00EE0917"/>
    <w:rsid w:val="00EE21FB"/>
    <w:rsid w:val="00EE2681"/>
    <w:rsid w:val="00EE434B"/>
    <w:rsid w:val="00EE5560"/>
    <w:rsid w:val="00EE594C"/>
    <w:rsid w:val="00EE654C"/>
    <w:rsid w:val="00EE7EEA"/>
    <w:rsid w:val="00EF1C0F"/>
    <w:rsid w:val="00EF336E"/>
    <w:rsid w:val="00EF3BE1"/>
    <w:rsid w:val="00EF4424"/>
    <w:rsid w:val="00EF4D8B"/>
    <w:rsid w:val="00EF7F35"/>
    <w:rsid w:val="00F0025A"/>
    <w:rsid w:val="00F00D39"/>
    <w:rsid w:val="00F027B9"/>
    <w:rsid w:val="00F07069"/>
    <w:rsid w:val="00F12A4C"/>
    <w:rsid w:val="00F13CF1"/>
    <w:rsid w:val="00F15331"/>
    <w:rsid w:val="00F157D9"/>
    <w:rsid w:val="00F170FB"/>
    <w:rsid w:val="00F1753A"/>
    <w:rsid w:val="00F210EB"/>
    <w:rsid w:val="00F22797"/>
    <w:rsid w:val="00F22C5C"/>
    <w:rsid w:val="00F22EF8"/>
    <w:rsid w:val="00F22F36"/>
    <w:rsid w:val="00F2361D"/>
    <w:rsid w:val="00F24D11"/>
    <w:rsid w:val="00F2570C"/>
    <w:rsid w:val="00F2735E"/>
    <w:rsid w:val="00F27E3C"/>
    <w:rsid w:val="00F27EE0"/>
    <w:rsid w:val="00F32B4F"/>
    <w:rsid w:val="00F338E5"/>
    <w:rsid w:val="00F348ED"/>
    <w:rsid w:val="00F34D83"/>
    <w:rsid w:val="00F3527C"/>
    <w:rsid w:val="00F352B0"/>
    <w:rsid w:val="00F363E7"/>
    <w:rsid w:val="00F37AED"/>
    <w:rsid w:val="00F41524"/>
    <w:rsid w:val="00F506CF"/>
    <w:rsid w:val="00F51264"/>
    <w:rsid w:val="00F52370"/>
    <w:rsid w:val="00F52B8C"/>
    <w:rsid w:val="00F547B1"/>
    <w:rsid w:val="00F552D0"/>
    <w:rsid w:val="00F55970"/>
    <w:rsid w:val="00F5752D"/>
    <w:rsid w:val="00F577CC"/>
    <w:rsid w:val="00F57A56"/>
    <w:rsid w:val="00F61649"/>
    <w:rsid w:val="00F62506"/>
    <w:rsid w:val="00F63430"/>
    <w:rsid w:val="00F64253"/>
    <w:rsid w:val="00F64290"/>
    <w:rsid w:val="00F6660B"/>
    <w:rsid w:val="00F66790"/>
    <w:rsid w:val="00F66D17"/>
    <w:rsid w:val="00F66DD2"/>
    <w:rsid w:val="00F673F9"/>
    <w:rsid w:val="00F714CD"/>
    <w:rsid w:val="00F72E71"/>
    <w:rsid w:val="00F734B9"/>
    <w:rsid w:val="00F73973"/>
    <w:rsid w:val="00F743BB"/>
    <w:rsid w:val="00F7467C"/>
    <w:rsid w:val="00F76249"/>
    <w:rsid w:val="00F76A10"/>
    <w:rsid w:val="00F80FA2"/>
    <w:rsid w:val="00F81F6D"/>
    <w:rsid w:val="00F828C1"/>
    <w:rsid w:val="00F82A37"/>
    <w:rsid w:val="00F84ABB"/>
    <w:rsid w:val="00F84CBE"/>
    <w:rsid w:val="00F852B9"/>
    <w:rsid w:val="00F860FC"/>
    <w:rsid w:val="00F862A2"/>
    <w:rsid w:val="00F86FFD"/>
    <w:rsid w:val="00F9016B"/>
    <w:rsid w:val="00F911D3"/>
    <w:rsid w:val="00F924B8"/>
    <w:rsid w:val="00F9347B"/>
    <w:rsid w:val="00F94A03"/>
    <w:rsid w:val="00F94B2A"/>
    <w:rsid w:val="00F96AE9"/>
    <w:rsid w:val="00F972B7"/>
    <w:rsid w:val="00F97D35"/>
    <w:rsid w:val="00FA0725"/>
    <w:rsid w:val="00FA1501"/>
    <w:rsid w:val="00FA1C93"/>
    <w:rsid w:val="00FA2453"/>
    <w:rsid w:val="00FA43B9"/>
    <w:rsid w:val="00FA5644"/>
    <w:rsid w:val="00FA6E47"/>
    <w:rsid w:val="00FA7BC0"/>
    <w:rsid w:val="00FB0221"/>
    <w:rsid w:val="00FB4F5C"/>
    <w:rsid w:val="00FB5E8E"/>
    <w:rsid w:val="00FC000D"/>
    <w:rsid w:val="00FC2475"/>
    <w:rsid w:val="00FC4EDB"/>
    <w:rsid w:val="00FC5156"/>
    <w:rsid w:val="00FC54B9"/>
    <w:rsid w:val="00FC6050"/>
    <w:rsid w:val="00FC68D1"/>
    <w:rsid w:val="00FC6DC0"/>
    <w:rsid w:val="00FC7B1B"/>
    <w:rsid w:val="00FD2E67"/>
    <w:rsid w:val="00FD38A7"/>
    <w:rsid w:val="00FD5A49"/>
    <w:rsid w:val="00FD68EC"/>
    <w:rsid w:val="00FD7267"/>
    <w:rsid w:val="00FE0A00"/>
    <w:rsid w:val="00FE217C"/>
    <w:rsid w:val="00FE2FFC"/>
    <w:rsid w:val="00FE50D2"/>
    <w:rsid w:val="00FE6E41"/>
    <w:rsid w:val="00FE7003"/>
    <w:rsid w:val="00FF0E4B"/>
    <w:rsid w:val="00FF3CCB"/>
    <w:rsid w:val="00FF4190"/>
    <w:rsid w:val="00FF531A"/>
    <w:rsid w:val="00FF5AEF"/>
    <w:rsid w:val="0B5420EB"/>
    <w:rsid w:val="1286373D"/>
    <w:rsid w:val="1F2E00D3"/>
    <w:rsid w:val="25AC0A02"/>
    <w:rsid w:val="264F313A"/>
    <w:rsid w:val="34E93DB0"/>
    <w:rsid w:val="35610FCE"/>
    <w:rsid w:val="401C0072"/>
    <w:rsid w:val="459A3B58"/>
    <w:rsid w:val="516A7FEC"/>
    <w:rsid w:val="56450D64"/>
    <w:rsid w:val="593B29CA"/>
    <w:rsid w:val="5DC63834"/>
    <w:rsid w:val="61896396"/>
    <w:rsid w:val="66516FBF"/>
    <w:rsid w:val="78565BB0"/>
    <w:rsid w:val="7AC1289C"/>
    <w:rsid w:val="7EBF61B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39" w:semiHidden="0" w:name="toc 2"/>
    <w:lsdException w:qFormat="1"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qFormat="1" w:unhideWhenUsed="0" w:uiPriority="0" w:semiHidden="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qFormat="1" w:unhideWhenUsed="0" w:uiPriority="0" w:semiHidden="0" w:name="Table Contemporary"/>
    <w:lsdException w:qFormat="1" w:unhideWhenUsed="0" w:uiPriority="0" w:semiHidden="0" w:name="Table Elegant"/>
    <w:lsdException w:uiPriority="0" w:name="Table Professional"/>
    <w:lsdException w:uiPriority="0" w:name="Table Subtle 1"/>
    <w:lsdException w:uiPriority="0" w:name="Table Subtle 2"/>
    <w:lsdException w:qFormat="1" w:unhideWhenUsed="0" w:uiPriority="0" w:semiHidden="0" w:name="Table Web 1"/>
    <w:lsdException w:qFormat="1" w:unhideWhenUsed="0" w:uiPriority="0" w:semiHidden="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0"/>
    <w:qFormat/>
    <w:uiPriority w:val="0"/>
    <w:pPr>
      <w:keepNext/>
      <w:spacing w:before="120" w:after="120" w:line="360" w:lineRule="auto"/>
      <w:ind w:left="100" w:leftChars="100" w:right="100" w:rightChars="100"/>
      <w:jc w:val="left"/>
      <w:outlineLvl w:val="0"/>
    </w:pPr>
    <w:rPr>
      <w:rFonts w:eastAsia="微软雅黑"/>
      <w:b/>
    </w:rPr>
  </w:style>
  <w:style w:type="character" w:default="1" w:styleId="28">
    <w:name w:val="Default Paragraph Font"/>
    <w:semiHidden/>
    <w:unhideWhenUsed/>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pPr>
    <w:rPr>
      <w:szCs w:val="24"/>
    </w:rPr>
  </w:style>
  <w:style w:type="paragraph" w:styleId="4">
    <w:name w:val="Document Map"/>
    <w:basedOn w:val="1"/>
    <w:link w:val="43"/>
    <w:qFormat/>
    <w:uiPriority w:val="0"/>
    <w:rPr>
      <w:rFonts w:ascii="宋体"/>
      <w:sz w:val="18"/>
      <w:szCs w:val="18"/>
    </w:rPr>
  </w:style>
  <w:style w:type="paragraph" w:styleId="5">
    <w:name w:val="toa heading"/>
    <w:basedOn w:val="1"/>
    <w:next w:val="1"/>
    <w:qFormat/>
    <w:uiPriority w:val="0"/>
    <w:pPr>
      <w:spacing w:before="120"/>
    </w:pPr>
    <w:rPr>
      <w:rFonts w:ascii="Cambria" w:hAnsi="Cambria"/>
      <w:sz w:val="24"/>
      <w:szCs w:val="24"/>
    </w:rPr>
  </w:style>
  <w:style w:type="paragraph" w:styleId="6">
    <w:name w:val="Body Text"/>
    <w:basedOn w:val="1"/>
    <w:qFormat/>
    <w:uiPriority w:val="0"/>
    <w:pPr>
      <w:spacing w:line="360" w:lineRule="auto"/>
    </w:pPr>
    <w:rPr>
      <w:sz w:val="28"/>
    </w:rPr>
  </w:style>
  <w:style w:type="paragraph" w:styleId="7">
    <w:name w:val="Body Text Indent"/>
    <w:basedOn w:val="1"/>
    <w:link w:val="37"/>
    <w:qFormat/>
    <w:uiPriority w:val="0"/>
    <w:pPr>
      <w:spacing w:line="360" w:lineRule="auto"/>
      <w:ind w:left="315"/>
    </w:pPr>
    <w:rPr>
      <w:sz w:val="28"/>
    </w:rPr>
  </w:style>
  <w:style w:type="paragraph" w:styleId="8">
    <w:name w:val="toc 3"/>
    <w:basedOn w:val="1"/>
    <w:next w:val="1"/>
    <w:unhideWhenUsed/>
    <w:qFormat/>
    <w:uiPriority w:val="39"/>
    <w:pPr>
      <w:widowControl/>
      <w:spacing w:after="100" w:line="276" w:lineRule="auto"/>
      <w:ind w:left="440"/>
      <w:jc w:val="left"/>
    </w:pPr>
    <w:rPr>
      <w:rFonts w:ascii="Calibri" w:hAnsi="Calibri"/>
      <w:kern w:val="0"/>
      <w:sz w:val="22"/>
      <w:szCs w:val="22"/>
    </w:rPr>
  </w:style>
  <w:style w:type="paragraph" w:styleId="9">
    <w:name w:val="Plain Text"/>
    <w:basedOn w:val="1"/>
    <w:link w:val="38"/>
    <w:qFormat/>
    <w:uiPriority w:val="0"/>
    <w:rPr>
      <w:rFonts w:ascii="宋体" w:hAnsi="Courier New"/>
      <w:szCs w:val="21"/>
    </w:rPr>
  </w:style>
  <w:style w:type="paragraph" w:styleId="10">
    <w:name w:val="Body Text Indent 2"/>
    <w:basedOn w:val="1"/>
    <w:qFormat/>
    <w:uiPriority w:val="0"/>
    <w:pPr>
      <w:ind w:left="315" w:hanging="315"/>
    </w:pPr>
    <w:rPr>
      <w:sz w:val="28"/>
    </w:rPr>
  </w:style>
  <w:style w:type="paragraph" w:styleId="11">
    <w:name w:val="Balloon Text"/>
    <w:basedOn w:val="1"/>
    <w:link w:val="33"/>
    <w:qFormat/>
    <w:uiPriority w:val="0"/>
    <w:rPr>
      <w:sz w:val="18"/>
      <w:szCs w:val="18"/>
    </w:rPr>
  </w:style>
  <w:style w:type="paragraph" w:styleId="12">
    <w:name w:val="footer"/>
    <w:basedOn w:val="1"/>
    <w:link w:val="42"/>
    <w:qFormat/>
    <w:uiPriority w:val="99"/>
    <w:pPr>
      <w:tabs>
        <w:tab w:val="center" w:pos="4153"/>
        <w:tab w:val="right" w:pos="8306"/>
      </w:tabs>
      <w:snapToGrid w:val="0"/>
      <w:jc w:val="left"/>
    </w:pPr>
    <w:rPr>
      <w:sz w:val="18"/>
    </w:rPr>
  </w:style>
  <w:style w:type="paragraph" w:styleId="13">
    <w:name w:val="header"/>
    <w:basedOn w:val="1"/>
    <w:link w:val="41"/>
    <w:qFormat/>
    <w:uiPriority w:val="99"/>
    <w:pPr>
      <w:pBdr>
        <w:bottom w:val="single" w:color="auto" w:sz="6" w:space="1"/>
      </w:pBdr>
      <w:tabs>
        <w:tab w:val="center" w:pos="4153"/>
        <w:tab w:val="right" w:pos="8306"/>
      </w:tabs>
      <w:snapToGrid w:val="0"/>
      <w:jc w:val="center"/>
    </w:pPr>
    <w:rPr>
      <w:sz w:val="18"/>
    </w:rPr>
  </w:style>
  <w:style w:type="paragraph" w:styleId="14">
    <w:name w:val="toc 1"/>
    <w:basedOn w:val="1"/>
    <w:next w:val="1"/>
    <w:unhideWhenUsed/>
    <w:qFormat/>
    <w:uiPriority w:val="39"/>
    <w:pPr>
      <w:widowControl/>
      <w:tabs>
        <w:tab w:val="right" w:leader="dot" w:pos="8296"/>
        <w:tab w:val="right" w:leader="dot" w:pos="8637"/>
      </w:tabs>
      <w:spacing w:beforeLines="50" w:afterLines="50"/>
      <w:jc w:val="left"/>
    </w:pPr>
    <w:rPr>
      <w:rFonts w:ascii="Calibri" w:hAnsi="Calibri"/>
      <w:color w:val="000000"/>
      <w:kern w:val="0"/>
      <w:sz w:val="22"/>
      <w:szCs w:val="22"/>
    </w:rPr>
  </w:style>
  <w:style w:type="paragraph" w:styleId="15">
    <w:name w:val="Subtitle"/>
    <w:basedOn w:val="1"/>
    <w:next w:val="1"/>
    <w:link w:val="32"/>
    <w:qFormat/>
    <w:uiPriority w:val="0"/>
    <w:pPr>
      <w:spacing w:before="240" w:after="60" w:line="312" w:lineRule="auto"/>
      <w:ind w:left="100" w:leftChars="100" w:right="100" w:rightChars="100"/>
      <w:jc w:val="left"/>
      <w:outlineLvl w:val="1"/>
    </w:pPr>
    <w:rPr>
      <w:rFonts w:eastAsia="微软雅黑"/>
      <w:b/>
      <w:bCs/>
      <w:kern w:val="28"/>
      <w:szCs w:val="32"/>
    </w:rPr>
  </w:style>
  <w:style w:type="paragraph" w:styleId="16">
    <w:name w:val="Body Text Indent 3"/>
    <w:basedOn w:val="1"/>
    <w:qFormat/>
    <w:uiPriority w:val="0"/>
    <w:pPr>
      <w:ind w:left="630" w:hanging="630"/>
    </w:pPr>
    <w:rPr>
      <w:sz w:val="28"/>
    </w:rPr>
  </w:style>
  <w:style w:type="paragraph" w:styleId="17">
    <w:name w:val="toc 2"/>
    <w:basedOn w:val="1"/>
    <w:next w:val="1"/>
    <w:qFormat/>
    <w:uiPriority w:val="39"/>
    <w:pPr>
      <w:ind w:left="420" w:leftChars="200"/>
    </w:pPr>
  </w:style>
  <w:style w:type="paragraph" w:styleId="18">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19">
    <w:name w:val="Title"/>
    <w:basedOn w:val="1"/>
    <w:next w:val="1"/>
    <w:link w:val="39"/>
    <w:qFormat/>
    <w:uiPriority w:val="0"/>
    <w:pPr>
      <w:spacing w:before="480" w:after="300"/>
      <w:jc w:val="center"/>
      <w:outlineLvl w:val="0"/>
    </w:pPr>
    <w:rPr>
      <w:rFonts w:ascii="Cambria" w:hAnsi="Cambria"/>
      <w:b/>
      <w:bCs/>
      <w:sz w:val="24"/>
      <w:szCs w:val="32"/>
    </w:rPr>
  </w:style>
  <w:style w:type="table" w:styleId="21">
    <w:name w:val="Table Grid"/>
    <w:basedOn w:val="20"/>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table" w:styleId="22">
    <w:name w:val="Table Elegant"/>
    <w:basedOn w:val="20"/>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23">
    <w:name w:val="Table Classic 1"/>
    <w:basedOn w:val="20"/>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cPr>
      <w:shd w:val="clear" w:color="auto" w:fill="auto"/>
    </w:tcPr>
    <w:tblStylePr w:type="firstRow">
      <w:rPr>
        <w:i/>
        <w:iCs/>
      </w:rPr>
      <w:tblPr/>
      <w:tcPr>
        <w:tcBorders>
          <w:bottom w:val="single" w:color="000000" w:sz="6" w:space="0"/>
          <w:tl2br w:val="nil"/>
          <w:tr2bl w:val="nil"/>
        </w:tcBorders>
      </w:tcPr>
    </w:tblStylePr>
    <w:tblStylePr w:type="lastRow">
      <w:rPr>
        <w:color w:val="auto"/>
      </w:rPr>
      <w:tblPr/>
      <w:tcPr>
        <w:tcBorders>
          <w:top w:val="single" w:color="000000" w:sz="6" w:space="0"/>
          <w:tl2br w:val="nil"/>
          <w:tr2bl w:val="nil"/>
        </w:tcBorders>
      </w:tcPr>
    </w:tblStylePr>
    <w:tblStylePr w:type="firstCol">
      <w:tblPr/>
      <w:tcPr>
        <w:tcBorders>
          <w:right w:val="single" w:color="000000" w:sz="6" w:space="0"/>
          <w:tl2br w:val="nil"/>
          <w:tr2bl w:val="nil"/>
        </w:tcBorders>
      </w:tcPr>
    </w:tblStylePr>
    <w:tblStylePr w:type="neCell">
      <w:rPr>
        <w:b/>
        <w:bCs/>
        <w:i w:val="0"/>
        <w:iCs w:val="0"/>
      </w:rPr>
      <w:tblPr/>
      <w:tcPr>
        <w:tcBorders>
          <w:tl2br w:val="nil"/>
          <w:tr2bl w:val="nil"/>
        </w:tcBorders>
      </w:tcPr>
    </w:tblStylePr>
    <w:tblStylePr w:type="swCell">
      <w:rPr>
        <w:b/>
        <w:bCs/>
      </w:rPr>
      <w:tblPr/>
      <w:tcPr>
        <w:tcBorders>
          <w:tl2br w:val="nil"/>
          <w:tr2bl w:val="nil"/>
        </w:tcBorders>
      </w:tcPr>
    </w:tblStylePr>
  </w:style>
  <w:style w:type="table" w:styleId="24">
    <w:name w:val="Table Contemporary"/>
    <w:basedOn w:val="20"/>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25">
    <w:name w:val="Table Grid 5"/>
    <w:basedOn w:val="20"/>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26">
    <w:name w:val="Table Web 1"/>
    <w:basedOn w:val="20"/>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table" w:styleId="27">
    <w:name w:val="Table Web 2"/>
    <w:basedOn w:val="20"/>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op w:val="nil"/>
          <w:left w:val="nil"/>
          <w:bottom w:val="nil"/>
          <w:right w:val="nil"/>
          <w:insideH w:val="nil"/>
          <w:insideV w:val="nil"/>
          <w:tl2br w:val="nil"/>
          <w:tr2bl w:val="nil"/>
        </w:tcBorders>
      </w:tcPr>
    </w:tblStylePr>
  </w:style>
  <w:style w:type="character" w:styleId="29">
    <w:name w:val="Strong"/>
    <w:qFormat/>
    <w:uiPriority w:val="0"/>
    <w:rPr>
      <w:b/>
      <w:bCs/>
    </w:rPr>
  </w:style>
  <w:style w:type="character" w:styleId="30">
    <w:name w:val="page number"/>
    <w:basedOn w:val="28"/>
    <w:qFormat/>
    <w:uiPriority w:val="0"/>
  </w:style>
  <w:style w:type="character" w:styleId="31">
    <w:name w:val="Hyperlink"/>
    <w:qFormat/>
    <w:uiPriority w:val="99"/>
    <w:rPr>
      <w:color w:val="0000FF"/>
      <w:u w:val="single"/>
    </w:rPr>
  </w:style>
  <w:style w:type="character" w:customStyle="1" w:styleId="32">
    <w:name w:val="副标题 Char"/>
    <w:link w:val="15"/>
    <w:qFormat/>
    <w:uiPriority w:val="0"/>
    <w:rPr>
      <w:rFonts w:eastAsia="微软雅黑"/>
      <w:b/>
      <w:bCs/>
      <w:kern w:val="28"/>
      <w:sz w:val="21"/>
      <w:szCs w:val="32"/>
    </w:rPr>
  </w:style>
  <w:style w:type="character" w:customStyle="1" w:styleId="33">
    <w:name w:val="批注框文本 Char"/>
    <w:link w:val="11"/>
    <w:qFormat/>
    <w:uiPriority w:val="0"/>
    <w:rPr>
      <w:kern w:val="2"/>
      <w:sz w:val="18"/>
      <w:szCs w:val="18"/>
    </w:rPr>
  </w:style>
  <w:style w:type="character" w:customStyle="1" w:styleId="34">
    <w:name w:val="无间隔 Char"/>
    <w:link w:val="35"/>
    <w:qFormat/>
    <w:uiPriority w:val="1"/>
    <w:rPr>
      <w:rFonts w:ascii="Calibri" w:hAnsi="Calibri"/>
      <w:kern w:val="2"/>
      <w:sz w:val="21"/>
      <w:szCs w:val="22"/>
      <w:lang w:val="en-US" w:eastAsia="zh-CN" w:bidi="ar-SA"/>
    </w:rPr>
  </w:style>
  <w:style w:type="paragraph" w:styleId="35">
    <w:name w:val="No Spacing"/>
    <w:link w:val="34"/>
    <w:qFormat/>
    <w:uiPriority w:val="1"/>
    <w:pPr>
      <w:widowControl w:val="0"/>
      <w:jc w:val="both"/>
    </w:pPr>
    <w:rPr>
      <w:rFonts w:ascii="Calibri" w:hAnsi="Calibri" w:eastAsia="宋体" w:cs="Times New Roman"/>
      <w:kern w:val="2"/>
      <w:sz w:val="21"/>
      <w:szCs w:val="22"/>
      <w:lang w:val="en-US" w:eastAsia="zh-CN" w:bidi="ar-SA"/>
    </w:rPr>
  </w:style>
  <w:style w:type="character" w:customStyle="1" w:styleId="36">
    <w:name w:val="apple-style-span"/>
    <w:basedOn w:val="28"/>
    <w:qFormat/>
    <w:uiPriority w:val="0"/>
  </w:style>
  <w:style w:type="character" w:customStyle="1" w:styleId="37">
    <w:name w:val="正文文本缩进 Char"/>
    <w:link w:val="7"/>
    <w:qFormat/>
    <w:uiPriority w:val="0"/>
    <w:rPr>
      <w:kern w:val="2"/>
      <w:sz w:val="28"/>
    </w:rPr>
  </w:style>
  <w:style w:type="character" w:customStyle="1" w:styleId="38">
    <w:name w:val="纯文本 Char"/>
    <w:link w:val="9"/>
    <w:qFormat/>
    <w:uiPriority w:val="0"/>
    <w:rPr>
      <w:rFonts w:ascii="宋体" w:hAnsi="Courier New" w:cs="Courier New"/>
      <w:kern w:val="2"/>
      <w:sz w:val="21"/>
      <w:szCs w:val="21"/>
    </w:rPr>
  </w:style>
  <w:style w:type="character" w:customStyle="1" w:styleId="39">
    <w:name w:val="标题 Char"/>
    <w:link w:val="19"/>
    <w:qFormat/>
    <w:uiPriority w:val="0"/>
    <w:rPr>
      <w:rFonts w:ascii="Cambria" w:hAnsi="Cambria" w:cs="Times New Roman"/>
      <w:b/>
      <w:bCs/>
      <w:kern w:val="2"/>
      <w:sz w:val="24"/>
      <w:szCs w:val="32"/>
    </w:rPr>
  </w:style>
  <w:style w:type="character" w:customStyle="1" w:styleId="40">
    <w:name w:val="标题 1 Char"/>
    <w:link w:val="2"/>
    <w:qFormat/>
    <w:uiPriority w:val="0"/>
    <w:rPr>
      <w:rFonts w:eastAsia="微软雅黑"/>
      <w:b/>
      <w:kern w:val="2"/>
      <w:sz w:val="21"/>
    </w:rPr>
  </w:style>
  <w:style w:type="character" w:customStyle="1" w:styleId="41">
    <w:name w:val="页眉 Char"/>
    <w:link w:val="13"/>
    <w:qFormat/>
    <w:uiPriority w:val="99"/>
    <w:rPr>
      <w:kern w:val="2"/>
      <w:sz w:val="18"/>
    </w:rPr>
  </w:style>
  <w:style w:type="character" w:customStyle="1" w:styleId="42">
    <w:name w:val="页脚 Char"/>
    <w:link w:val="12"/>
    <w:qFormat/>
    <w:uiPriority w:val="99"/>
    <w:rPr>
      <w:kern w:val="2"/>
      <w:sz w:val="18"/>
    </w:rPr>
  </w:style>
  <w:style w:type="character" w:customStyle="1" w:styleId="43">
    <w:name w:val="文档结构图 Char"/>
    <w:link w:val="4"/>
    <w:qFormat/>
    <w:uiPriority w:val="0"/>
    <w:rPr>
      <w:rFonts w:ascii="宋体"/>
      <w:kern w:val="2"/>
      <w:sz w:val="18"/>
      <w:szCs w:val="18"/>
    </w:rPr>
  </w:style>
  <w:style w:type="paragraph" w:customStyle="1" w:styleId="44">
    <w:name w:val="TOC 标题1"/>
    <w:basedOn w:val="2"/>
    <w:next w:val="1"/>
    <w:qFormat/>
    <w:uiPriority w:val="39"/>
    <w:pPr>
      <w:keepLines/>
      <w:widowControl/>
      <w:spacing w:before="480" w:after="0" w:line="276" w:lineRule="auto"/>
      <w:ind w:left="0" w:leftChars="0" w:right="0" w:rightChars="0"/>
      <w:outlineLvl w:val="9"/>
    </w:pPr>
    <w:rPr>
      <w:rFonts w:ascii="Cambria" w:hAnsi="Cambria"/>
      <w:bCs/>
      <w:color w:val="365F91"/>
      <w:kern w:val="0"/>
      <w:sz w:val="28"/>
      <w:szCs w:val="28"/>
    </w:rPr>
  </w:style>
  <w:style w:type="paragraph" w:customStyle="1" w:styleId="45">
    <w:name w:val="样式1"/>
    <w:basedOn w:val="13"/>
    <w:qFormat/>
    <w:uiPriority w:val="0"/>
    <w:pPr>
      <w:pBdr>
        <w:bottom w:val="thinThickSmallGap" w:color="auto" w:sz="24" w:space="0"/>
      </w:pBdr>
      <w:ind w:firstLine="3948" w:firstLineChars="1715"/>
      <w:jc w:val="both"/>
    </w:pPr>
    <w:rPr>
      <w:rFonts w:ascii="黑体" w:hAnsi="Arial Black" w:eastAsia="黑体"/>
      <w:b/>
      <w:spacing w:val="10"/>
      <w:sz w:val="21"/>
      <w:szCs w:val="21"/>
    </w:rPr>
  </w:style>
  <w:style w:type="paragraph" w:styleId="46">
    <w:name w:val="List Paragraph"/>
    <w:basedOn w:val="1"/>
    <w:qFormat/>
    <w:uiPriority w:val="34"/>
    <w:pPr>
      <w:ind w:firstLine="420" w:firstLineChars="200"/>
    </w:pPr>
  </w:style>
  <w:style w:type="paragraph" w:customStyle="1" w:styleId="47">
    <w:name w:val="正文文字"/>
    <w:basedOn w:val="1"/>
    <w:qFormat/>
    <w:uiPriority w:val="0"/>
    <w:pPr>
      <w:widowControl/>
      <w:tabs>
        <w:tab w:val="left" w:pos="7789"/>
      </w:tabs>
      <w:spacing w:line="487" w:lineRule="atLeast"/>
      <w:ind w:firstLine="419"/>
      <w:textAlignment w:val="baseline"/>
    </w:pPr>
    <w:rPr>
      <w:rFonts w:ascii="宋体"/>
      <w:color w:val="000000"/>
      <w:spacing w:val="11"/>
      <w:kern w:val="0"/>
      <w:sz w:val="24"/>
      <w:u w:color="000000"/>
    </w:rPr>
  </w:style>
  <w:style w:type="table" w:customStyle="1" w:styleId="48">
    <w:name w:val="中等深浅底纹 2 - 强调文字颜色 31"/>
    <w:basedOn w:val="20"/>
    <w:qFormat/>
    <w:uiPriority w:val="64"/>
    <w:tblPr>
      <w:tblBorders>
        <w:top w:val="single" w:color="auto" w:sz="18" w:space="0"/>
        <w:bottom w:val="single" w:color="auto" w:sz="18" w:space="0"/>
      </w:tblBorders>
      <w:tblCellMar>
        <w:top w:w="0" w:type="dxa"/>
        <w:left w:w="108" w:type="dxa"/>
        <w:bottom w:w="0" w:type="dxa"/>
        <w:right w:w="108" w:type="dxa"/>
      </w:tblCellMar>
    </w:tblPr>
    <w:tblStylePr w:type="firstRow">
      <w:pPr>
        <w:spacing w:before="0" w:after="0" w:line="240" w:lineRule="auto"/>
      </w:pPr>
      <w:rPr>
        <w:b/>
        <w:bCs/>
        <w:color w:val="FFFFFF"/>
      </w:rPr>
      <w:tcPr>
        <w:tcBorders>
          <w:top w:val="single" w:color="auto" w:sz="18" w:space="0"/>
          <w:left w:val="nil"/>
          <w:bottom w:val="single" w:color="auto" w:sz="18" w:space="0"/>
          <w:right w:val="nil"/>
          <w:insideH w:val="nil"/>
          <w:insideV w:val="nil"/>
          <w:tl2br w:val="nil"/>
          <w:tr2bl w:val="nil"/>
        </w:tcBorders>
        <w:shd w:val="clear" w:color="auto" w:fill="9BBB59"/>
      </w:tcPr>
    </w:tblStylePr>
    <w:tblStylePr w:type="lastRow">
      <w:pPr>
        <w:spacing w:before="0" w:after="0" w:line="240" w:lineRule="auto"/>
      </w:pPr>
      <w:rPr>
        <w:color w:val="auto"/>
      </w:rPr>
      <w:tcPr>
        <w:tcBorders>
          <w:top w:val="double" w:color="auto" w:sz="6" w:space="0"/>
          <w:left w:val="nil"/>
          <w:bottom w:val="single" w:color="auto" w:sz="18" w:space="0"/>
          <w:right w:val="nil"/>
          <w:insideH w:val="nil"/>
          <w:insideV w:val="nil"/>
          <w:tl2br w:val="nil"/>
          <w:tr2bl w:val="nil"/>
        </w:tcBorders>
        <w:shd w:val="clear" w:color="auto" w:fill="FFFFFF"/>
      </w:tcPr>
    </w:tblStylePr>
    <w:tblStylePr w:type="firstCol">
      <w:rPr>
        <w:b/>
        <w:bCs/>
        <w:color w:val="FFFFFF"/>
      </w:rPr>
      <w:tcPr>
        <w:tcBorders>
          <w:top w:val="nil"/>
          <w:left w:val="nil"/>
          <w:bottom w:val="single" w:color="auto" w:sz="18" w:space="0"/>
          <w:right w:val="nil"/>
          <w:insideH w:val="nil"/>
          <w:insideV w:val="nil"/>
          <w:tl2br w:val="nil"/>
          <w:tr2bl w:val="nil"/>
        </w:tcBorders>
        <w:shd w:val="clear" w:color="auto" w:fill="9BBB59"/>
      </w:tcPr>
    </w:tblStylePr>
    <w:tblStylePr w:type="lastCol">
      <w:rPr>
        <w:b/>
        <w:bCs/>
        <w:color w:val="FFFFFF"/>
      </w:rPr>
      <w:tcPr>
        <w:tcBorders>
          <w:top w:val="nil"/>
          <w:left w:val="nil"/>
          <w:bottom w:val="nil"/>
          <w:right w:val="nil"/>
          <w:insideH w:val="nil"/>
          <w:insideV w:val="nil"/>
          <w:tl2br w:val="nil"/>
          <w:tr2bl w:val="nil"/>
        </w:tcBorders>
        <w:shd w:val="clear" w:color="auto" w:fill="9BBB59"/>
      </w:tcPr>
    </w:tblStylePr>
    <w:tblStylePr w:type="band1Vert">
      <w:tcPr>
        <w:tcBorders>
          <w:top w:val="nil"/>
          <w:left w:val="nil"/>
          <w:bottom w:val="nil"/>
          <w:right w:val="nil"/>
          <w:insideH w:val="nil"/>
          <w:insideV w:val="nil"/>
          <w:tl2br w:val="nil"/>
          <w:tr2bl w:val="nil"/>
        </w:tcBorders>
        <w:shd w:val="clear" w:color="auto" w:fill="D8D8D8"/>
      </w:tcPr>
    </w:tblStylePr>
    <w:tblStylePr w:type="band1Horz">
      <w:tcPr>
        <w:shd w:val="clear" w:color="auto" w:fill="D8D8D8"/>
      </w:tcPr>
    </w:tblStylePr>
    <w:tblStylePr w:type="neCell">
      <w:tcPr>
        <w:tcBorders>
          <w:top w:val="single" w:color="auto" w:sz="18" w:space="0"/>
          <w:left w:val="nil"/>
          <w:bottom w:val="single" w:color="auto" w:sz="18" w:space="0"/>
          <w:right w:val="nil"/>
          <w:insideH w:val="nil"/>
          <w:insideV w:val="nil"/>
          <w:tl2br w:val="nil"/>
          <w:tr2bl w:val="nil"/>
        </w:tcBorders>
      </w:tcPr>
    </w:tblStylePr>
    <w:tblStylePr w:type="nwCell">
      <w:rPr>
        <w:color w:val="FFFFFF"/>
      </w:rPr>
      <w:tcPr>
        <w:tcBorders>
          <w:top w:val="single" w:color="auto" w:sz="18" w:space="0"/>
          <w:left w:val="nil"/>
          <w:bottom w:val="single" w:color="auto" w:sz="18" w:space="0"/>
          <w:right w:val="nil"/>
          <w:insideH w:val="nil"/>
          <w:insideV w:val="nil"/>
          <w:tl2br w:val="nil"/>
          <w:tr2bl w:val="nil"/>
        </w:tcBorders>
      </w:tcPr>
    </w:tblStylePr>
  </w:style>
  <w:style w:type="table" w:customStyle="1" w:styleId="49">
    <w:name w:val="中等深浅网格 3 - 强调文字颜色 51"/>
    <w:basedOn w:val="20"/>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CellMar>
        <w:top w:w="0" w:type="dxa"/>
        <w:left w:w="108" w:type="dxa"/>
        <w:bottom w:w="0" w:type="dxa"/>
        <w:right w:w="108" w:type="dxa"/>
      </w:tblCellMar>
    </w:tblPr>
    <w:tcPr>
      <w:shd w:val="clear" w:color="auto" w:fill="D2EAF1"/>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4BACC6"/>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4BACC6"/>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4BACC6"/>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4BACC6"/>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A5D5E2"/>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A5D5E2"/>
      </w:tcPr>
    </w:tblStylePr>
  </w:style>
  <w:style w:type="table" w:customStyle="1" w:styleId="50">
    <w:name w:val="中等深浅网格 3 - 强调文字颜色 11"/>
    <w:basedOn w:val="20"/>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CellMar>
        <w:top w:w="0" w:type="dxa"/>
        <w:left w:w="108" w:type="dxa"/>
        <w:bottom w:w="0" w:type="dxa"/>
        <w:right w:w="108" w:type="dxa"/>
      </w:tblCellMar>
    </w:tblPr>
    <w:tcPr>
      <w:shd w:val="clear" w:color="auto" w:fill="D3DFEE"/>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4F81BD"/>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4F81BD"/>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4F81BD"/>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4F81BD"/>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A7BFDE"/>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A7BFDE"/>
      </w:tcPr>
    </w:tblStylePr>
  </w:style>
  <w:style w:type="table" w:customStyle="1" w:styleId="51">
    <w:name w:val="中等深浅网格 3 - 强调文字颜色 31"/>
    <w:basedOn w:val="20"/>
    <w:qFormat/>
    <w:uiPriority w:val="69"/>
    <w:tblPr>
      <w:tblBorders>
        <w:top w:val="single" w:color="FFFFFF" w:sz="8" w:space="0"/>
        <w:left w:val="single" w:color="FFFFFF" w:sz="8" w:space="0"/>
        <w:bottom w:val="single" w:color="FFFFFF" w:sz="8" w:space="0"/>
        <w:right w:val="single" w:color="FFFFFF" w:sz="8" w:space="0"/>
        <w:insideH w:val="single" w:color="FFFFFF" w:sz="6" w:space="0"/>
        <w:insideV w:val="single" w:color="FFFFFF" w:sz="6" w:space="0"/>
      </w:tblBorders>
      <w:tblCellMar>
        <w:top w:w="0" w:type="dxa"/>
        <w:left w:w="108" w:type="dxa"/>
        <w:bottom w:w="0" w:type="dxa"/>
        <w:right w:w="108" w:type="dxa"/>
      </w:tblCellMar>
    </w:tblPr>
    <w:tcPr>
      <w:shd w:val="clear" w:color="auto" w:fill="E6EED5"/>
    </w:tcPr>
    <w:tblStylePr w:type="firstRow">
      <w:rPr>
        <w:b/>
        <w:bCs/>
        <w:i w:val="0"/>
        <w:iCs w:val="0"/>
        <w:color w:val="FFFFFF"/>
      </w:rPr>
      <w:tcPr>
        <w:tcBorders>
          <w:top w:val="single" w:color="FFFFFF" w:sz="8" w:space="0"/>
          <w:left w:val="single" w:color="FFFFFF" w:sz="8" w:space="0"/>
          <w:bottom w:val="single" w:color="FFFFFF" w:sz="24" w:space="0"/>
          <w:right w:val="single" w:color="FFFFFF" w:sz="8" w:space="0"/>
          <w:insideH w:val="nil"/>
          <w:insideV w:val="single" w:sz="8" w:space="0"/>
          <w:tl2br w:val="nil"/>
          <w:tr2bl w:val="nil"/>
        </w:tcBorders>
        <w:shd w:val="clear" w:color="auto" w:fill="9BBB59"/>
      </w:tcPr>
    </w:tblStylePr>
    <w:tblStylePr w:type="lastRow">
      <w:rPr>
        <w:b/>
        <w:bCs/>
        <w:i w:val="0"/>
        <w:iCs w:val="0"/>
        <w:color w:val="FFFFFF"/>
      </w:rPr>
      <w:tcPr>
        <w:tcBorders>
          <w:top w:val="single" w:color="FFFFFF" w:sz="24" w:space="0"/>
          <w:left w:val="single" w:color="FFFFFF" w:sz="8" w:space="0"/>
          <w:bottom w:val="single" w:color="FFFFFF" w:sz="8" w:space="0"/>
          <w:right w:val="single" w:color="FFFFFF" w:sz="8" w:space="0"/>
          <w:insideH w:val="nil"/>
          <w:insideV w:val="single" w:sz="8" w:space="0"/>
          <w:tl2br w:val="nil"/>
          <w:tr2bl w:val="nil"/>
        </w:tcBorders>
        <w:shd w:val="clear" w:color="auto" w:fill="9BBB59"/>
      </w:tcPr>
    </w:tblStylePr>
    <w:tblStylePr w:type="firstCol">
      <w:rPr>
        <w:b/>
        <w:bCs/>
        <w:i w:val="0"/>
        <w:iCs w:val="0"/>
        <w:color w:val="FFFFFF"/>
      </w:rPr>
      <w:tcPr>
        <w:tcBorders>
          <w:top w:val="nil"/>
          <w:left w:val="single" w:color="FFFFFF" w:sz="8" w:space="0"/>
          <w:bottom w:val="nil"/>
          <w:right w:val="single" w:color="FFFFFF" w:sz="24" w:space="0"/>
          <w:insideH w:val="nil"/>
          <w:insideV w:val="nil"/>
          <w:tl2br w:val="nil"/>
          <w:tr2bl w:val="nil"/>
        </w:tcBorders>
        <w:shd w:val="clear" w:color="auto" w:fill="9BBB59"/>
      </w:tcPr>
    </w:tblStylePr>
    <w:tblStylePr w:type="lastCol">
      <w:rPr>
        <w:b/>
        <w:bCs/>
        <w:i w:val="0"/>
        <w:iCs w:val="0"/>
        <w:color w:val="FFFFFF"/>
      </w:rPr>
      <w:tcPr>
        <w:tcBorders>
          <w:top w:val="nil"/>
          <w:left w:val="single" w:color="FFFFFF" w:sz="24" w:space="0"/>
          <w:bottom w:val="nil"/>
          <w:right w:val="nil"/>
          <w:insideH w:val="nil"/>
          <w:insideV w:val="nil"/>
          <w:tl2br w:val="nil"/>
          <w:tr2bl w:val="nil"/>
        </w:tcBorders>
        <w:shd w:val="clear" w:color="auto" w:fill="9BBB59"/>
      </w:tcPr>
    </w:tblStylePr>
    <w:tblStylePr w:type="band1Vert">
      <w:tcPr>
        <w:tcBorders>
          <w:top w:val="single" w:color="FFFFFF" w:sz="8" w:space="0"/>
          <w:left w:val="single" w:color="FFFFFF" w:sz="8" w:space="0"/>
          <w:bottom w:val="single" w:color="FFFFFF" w:sz="8" w:space="0"/>
          <w:right w:val="single" w:color="FFFFFF" w:sz="8" w:space="0"/>
          <w:insideH w:val="nil"/>
          <w:insideV w:val="nil"/>
          <w:tl2br w:val="nil"/>
          <w:tr2bl w:val="nil"/>
        </w:tcBorders>
        <w:shd w:val="clear" w:color="auto" w:fill="CDDDAC"/>
      </w:tcPr>
    </w:tblStylePr>
    <w:tblStylePr w:type="band1Horz">
      <w:tcPr>
        <w:tcBorders>
          <w:top w:val="single" w:color="FFFFFF" w:sz="8" w:space="0"/>
          <w:left w:val="single" w:color="FFFFFF" w:sz="8" w:space="0"/>
          <w:bottom w:val="single" w:color="FFFFFF" w:sz="8" w:space="0"/>
          <w:right w:val="single" w:color="FFFFFF" w:sz="8" w:space="0"/>
          <w:insideH w:val="single" w:sz="8" w:space="0"/>
          <w:insideV w:val="single" w:sz="8" w:space="0"/>
          <w:tl2br w:val="nil"/>
          <w:tr2bl w:val="nil"/>
        </w:tcBorders>
        <w:shd w:val="clear" w:color="auto" w:fill="CDDDAC"/>
      </w:tcPr>
    </w:tblStylePr>
  </w:style>
  <w:style w:type="table" w:customStyle="1" w:styleId="52">
    <w:name w:val="中等深浅网格 1 - 强调文字颜色 11"/>
    <w:basedOn w:val="20"/>
    <w:qFormat/>
    <w:uiPriority w:val="67"/>
    <w:tblPr>
      <w:tblBorders>
        <w:top w:val="single" w:color="7BA0CD" w:sz="8" w:space="0"/>
        <w:left w:val="single" w:color="7BA0CD" w:sz="8" w:space="0"/>
        <w:bottom w:val="single" w:color="7BA0CD" w:sz="8" w:space="0"/>
        <w:right w:val="single" w:color="7BA0CD" w:sz="8" w:space="0"/>
        <w:insideH w:val="single" w:color="7BA0CD" w:sz="8" w:space="0"/>
        <w:insideV w:val="single" w:color="7BA0CD" w:sz="8" w:space="0"/>
      </w:tblBorders>
      <w:tblCellMar>
        <w:top w:w="0" w:type="dxa"/>
        <w:left w:w="108" w:type="dxa"/>
        <w:bottom w:w="0" w:type="dxa"/>
        <w:right w:w="108" w:type="dxa"/>
      </w:tblCellMar>
    </w:tblPr>
    <w:tcPr>
      <w:shd w:val="clear" w:color="auto" w:fill="D3DFEE"/>
    </w:tcPr>
    <w:tblStylePr w:type="firstRow">
      <w:rPr>
        <w:b/>
        <w:bCs/>
      </w:rPr>
    </w:tblStylePr>
    <w:tblStylePr w:type="lastRow">
      <w:rPr>
        <w:b/>
        <w:bCs/>
      </w:rPr>
      <w:tcPr>
        <w:tcBorders>
          <w:top w:val="single" w:color="7BA0CD" w:sz="18" w:space="0"/>
          <w:left w:val="nil"/>
          <w:bottom w:val="nil"/>
          <w:right w:val="nil"/>
          <w:insideH w:val="nil"/>
          <w:insideV w:val="nil"/>
          <w:tl2br w:val="nil"/>
          <w:tr2bl w:val="nil"/>
        </w:tcBorders>
      </w:tcPr>
    </w:tblStylePr>
    <w:tblStylePr w:type="firstCol">
      <w:rPr>
        <w:b/>
        <w:bCs/>
      </w:rPr>
    </w:tblStylePr>
    <w:tblStylePr w:type="lastCol">
      <w:rPr>
        <w:b/>
        <w:bCs/>
      </w:rPr>
    </w:tblStylePr>
    <w:tblStylePr w:type="band1Vert">
      <w:tcPr>
        <w:shd w:val="clear" w:color="auto" w:fill="A7BFDE"/>
      </w:tcPr>
    </w:tblStylePr>
    <w:tblStylePr w:type="band1Horz">
      <w:tcPr>
        <w:shd w:val="clear" w:color="auto" w:fill="A7BFDE"/>
      </w:tcPr>
    </w:tblStylePr>
  </w:style>
  <w:style w:type="table" w:customStyle="1" w:styleId="53">
    <w:name w:val="浅色列表 - 强调文字颜色 31"/>
    <w:basedOn w:val="20"/>
    <w:qFormat/>
    <w:uiPriority w:val="61"/>
    <w:rPr>
      <w:rFonts w:ascii="Calibri" w:hAnsi="Calibri"/>
      <w:sz w:val="22"/>
      <w:szCs w:val="22"/>
    </w:rPr>
    <w:tblPr>
      <w:tblBorders>
        <w:top w:val="single" w:color="9BBB59" w:sz="8" w:space="0"/>
        <w:left w:val="single" w:color="9BBB59" w:sz="8" w:space="0"/>
        <w:bottom w:val="single" w:color="9BBB59" w:sz="8" w:space="0"/>
        <w:right w:val="single" w:color="9BBB59" w:sz="8" w:space="0"/>
      </w:tblBorders>
      <w:tblCellMar>
        <w:top w:w="0" w:type="dxa"/>
        <w:left w:w="108" w:type="dxa"/>
        <w:bottom w:w="0" w:type="dxa"/>
        <w:right w:w="108" w:type="dxa"/>
      </w:tblCellMar>
    </w:tblPr>
    <w:tblStylePr w:type="firstRow">
      <w:pPr>
        <w:spacing w:before="0" w:after="0" w:line="240" w:lineRule="auto"/>
      </w:pPr>
      <w:rPr>
        <w:b/>
        <w:bCs/>
        <w:color w:val="FFFFFF"/>
      </w:rPr>
      <w:tcPr>
        <w:shd w:val="clear" w:color="auto" w:fill="9BBB59"/>
      </w:tcPr>
    </w:tblStylePr>
    <w:tblStylePr w:type="lastRow">
      <w:pPr>
        <w:spacing w:before="0" w:after="0" w:line="240" w:lineRule="auto"/>
      </w:pPr>
      <w:rPr>
        <w:b/>
        <w:bCs/>
      </w:rPr>
      <w:tcPr>
        <w:tcBorders>
          <w:top w:val="double" w:color="9BBB59" w:sz="6" w:space="0"/>
          <w:left w:val="single" w:color="9BBB59" w:sz="8" w:space="0"/>
          <w:bottom w:val="single" w:color="9BBB59" w:sz="8" w:space="0"/>
          <w:right w:val="single" w:color="9BBB59" w:sz="8" w:space="0"/>
          <w:insideH w:val="nil"/>
          <w:insideV w:val="nil"/>
          <w:tl2br w:val="nil"/>
          <w:tr2bl w:val="nil"/>
        </w:tcBorders>
      </w:tcPr>
    </w:tblStylePr>
    <w:tblStylePr w:type="firstCol">
      <w:rPr>
        <w:b/>
        <w:bCs/>
      </w:rPr>
    </w:tblStylePr>
    <w:tblStylePr w:type="lastCol">
      <w:rPr>
        <w:b/>
        <w:bCs/>
      </w:rPr>
    </w:tblStylePr>
    <w:tblStylePr w:type="band1Vert">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tblStylePr w:type="band1Horz">
      <w:tcPr>
        <w:tcBorders>
          <w:top w:val="single" w:color="9BBB59" w:sz="8" w:space="0"/>
          <w:left w:val="single" w:color="9BBB59" w:sz="8" w:space="0"/>
          <w:bottom w:val="single" w:color="9BBB59" w:sz="8" w:space="0"/>
          <w:right w:val="single" w:color="9BBB59" w:sz="8" w:space="0"/>
          <w:insideH w:val="nil"/>
          <w:insideV w:val="nil"/>
          <w:tl2br w:val="nil"/>
          <w:tr2bl w:val="nil"/>
        </w:tcBorders>
      </w:tcPr>
    </w:tblStyle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jpeg"/><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7" Type="http://schemas.openxmlformats.org/officeDocument/2006/relationships/fontTable" Target="fontTable.xml"/><Relationship Id="rId36" Type="http://schemas.openxmlformats.org/officeDocument/2006/relationships/customXml" Target="../customXml/item2.xml"/><Relationship Id="rId35" Type="http://schemas.openxmlformats.org/officeDocument/2006/relationships/numbering" Target="numbering.xml"/><Relationship Id="rId34" Type="http://schemas.openxmlformats.org/officeDocument/2006/relationships/customXml" Target="../customXml/item1.xml"/><Relationship Id="rId33" Type="http://schemas.openxmlformats.org/officeDocument/2006/relationships/image" Target="media/image27.png"/><Relationship Id="rId32" Type="http://schemas.openxmlformats.org/officeDocument/2006/relationships/image" Target="media/image26.png"/><Relationship Id="rId31" Type="http://schemas.openxmlformats.org/officeDocument/2006/relationships/image" Target="media/image25.jpeg"/><Relationship Id="rId30" Type="http://schemas.openxmlformats.org/officeDocument/2006/relationships/image" Target="media/image24.png"/><Relationship Id="rId3" Type="http://schemas.openxmlformats.org/officeDocument/2006/relationships/header" Target="header1.xml"/><Relationship Id="rId29" Type="http://schemas.openxmlformats.org/officeDocument/2006/relationships/image" Target="media/image23.png"/><Relationship Id="rId28" Type="http://schemas.openxmlformats.org/officeDocument/2006/relationships/image" Target="media/image22.png"/><Relationship Id="rId27" Type="http://schemas.openxmlformats.org/officeDocument/2006/relationships/image" Target="media/image21.png"/><Relationship Id="rId26" Type="http://schemas.openxmlformats.org/officeDocument/2006/relationships/image" Target="media/image20.png"/><Relationship Id="rId25" Type="http://schemas.openxmlformats.org/officeDocument/2006/relationships/image" Target="media/image19.png"/><Relationship Id="rId24" Type="http://schemas.openxmlformats.org/officeDocument/2006/relationships/image" Target="media/image18.png"/><Relationship Id="rId23" Type="http://schemas.openxmlformats.org/officeDocument/2006/relationships/image" Target="media/image17.png"/><Relationship Id="rId22" Type="http://schemas.openxmlformats.org/officeDocument/2006/relationships/image" Target="media/image16.png"/><Relationship Id="rId21" Type="http://schemas.openxmlformats.org/officeDocument/2006/relationships/image" Target="media/image15.png"/><Relationship Id="rId20" Type="http://schemas.openxmlformats.org/officeDocument/2006/relationships/image" Target="media/image14.png"/><Relationship Id="rId2" Type="http://schemas.openxmlformats.org/officeDocument/2006/relationships/settings" Target="settings.xml"/><Relationship Id="rId19" Type="http://schemas.openxmlformats.org/officeDocument/2006/relationships/image" Target="media/image13.png"/><Relationship Id="rId18" Type="http://schemas.openxmlformats.org/officeDocument/2006/relationships/image" Target="media/image12.png"/><Relationship Id="rId17" Type="http://schemas.openxmlformats.org/officeDocument/2006/relationships/image" Target="media/image11.png"/><Relationship Id="rId16" Type="http://schemas.openxmlformats.org/officeDocument/2006/relationships/image" Target="media/image10.png"/><Relationship Id="rId15" Type="http://schemas.openxmlformats.org/officeDocument/2006/relationships/image" Target="media/image9.jpeg"/><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jpeg"/><Relationship Id="rId11" Type="http://schemas.openxmlformats.org/officeDocument/2006/relationships/image" Target="media/image5.jpeg"/><Relationship Id="rId10" Type="http://schemas.openxmlformats.org/officeDocument/2006/relationships/image" Target="media/image4.jpeg"/><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Desktop\FS80KV&#36229;&#20302;&#39057;&#35828;&#26126;&#20070;\&#35828;&#26126;&#20070;-80kv&#36229;&#20302;&#39057;.do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0B318E2-E178-446A-8BA5-00760FAEBF2E}">
  <ds:schemaRefs/>
</ds:datastoreItem>
</file>

<file path=docProps/app.xml><?xml version="1.0" encoding="utf-8"?>
<Properties xmlns="http://schemas.openxmlformats.org/officeDocument/2006/extended-properties" xmlns:vt="http://schemas.openxmlformats.org/officeDocument/2006/docPropsVTypes">
  <Template>说明书-80kv超低频</Template>
  <Company>Microsoft</Company>
  <Pages>1</Pages>
  <Words>1281</Words>
  <Characters>7307</Characters>
  <Lines>60</Lines>
  <Paragraphs>17</Paragraphs>
  <TotalTime>2</TotalTime>
  <ScaleCrop>false</ScaleCrop>
  <LinksUpToDate>false</LinksUpToDate>
  <CharactersWithSpaces>8571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2020-06-29T04:09:00Z</dcterms:created>
  <dc:creator>xbany</dc:creator>
  <dc:description>FS500P全自动电容电流测试仪</dc:description>
  <cp:keywords>FS500P全自动电容电流测试仪</cp:keywords>
  <cp:lastModifiedBy>武汉绿能德葛柳香</cp:lastModifiedBy>
  <cp:lastPrinted>2021-07-23T00:59:00Z</cp:lastPrinted>
  <dcterms:modified xsi:type="dcterms:W3CDTF">2023-11-24T01:11:37Z</dcterms:modified>
  <dc:subject>FS500P全自动电容电流测试仪</dc:subject>
  <dc:title>FS500P全自动电容电流测试仪</dc:title>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AC7D46AB05C743758ED0F5ED2E2C516E</vt:lpwstr>
  </property>
</Properties>
</file>